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08B" w:rsidRDefault="00AB64A1" w:rsidP="00AD5F47">
      <w:pPr>
        <w:jc w:val="center"/>
        <w:rPr>
          <w:sz w:val="28"/>
          <w:szCs w:val="28"/>
        </w:rPr>
      </w:pPr>
      <w:r>
        <w:rPr>
          <w:sz w:val="28"/>
          <w:szCs w:val="28"/>
        </w:rPr>
        <w:t>T</w:t>
      </w:r>
      <w:r w:rsidR="002A6C93">
        <w:rPr>
          <w:sz w:val="28"/>
          <w:szCs w:val="28"/>
        </w:rPr>
        <w:t xml:space="preserve">reating Uncertainty as Risk: </w:t>
      </w:r>
      <w:r w:rsidR="00AD5F47">
        <w:rPr>
          <w:sz w:val="28"/>
          <w:szCs w:val="28"/>
        </w:rPr>
        <w:t xml:space="preserve">The </w:t>
      </w:r>
      <w:r w:rsidR="0072408B" w:rsidRPr="0072408B">
        <w:rPr>
          <w:sz w:val="28"/>
          <w:szCs w:val="28"/>
        </w:rPr>
        <w:t xml:space="preserve">Credit Default </w:t>
      </w:r>
      <w:r w:rsidR="00653D3A">
        <w:rPr>
          <w:sz w:val="28"/>
          <w:szCs w:val="28"/>
        </w:rPr>
        <w:br/>
      </w:r>
      <w:r w:rsidR="0072408B" w:rsidRPr="0072408B">
        <w:rPr>
          <w:sz w:val="28"/>
          <w:szCs w:val="28"/>
        </w:rPr>
        <w:t>Swap</w:t>
      </w:r>
      <w:r>
        <w:rPr>
          <w:sz w:val="28"/>
          <w:szCs w:val="28"/>
        </w:rPr>
        <w:t xml:space="preserve"> </w:t>
      </w:r>
      <w:r w:rsidR="00653D3A">
        <w:rPr>
          <w:sz w:val="28"/>
          <w:szCs w:val="28"/>
        </w:rPr>
        <w:t>and the Paradox of Derivatives</w:t>
      </w:r>
      <w:r w:rsidR="00002217">
        <w:rPr>
          <w:rStyle w:val="FootnoteReference"/>
          <w:sz w:val="28"/>
          <w:szCs w:val="28"/>
        </w:rPr>
        <w:footnoteReference w:id="1"/>
      </w:r>
    </w:p>
    <w:p w:rsidR="00DF3217" w:rsidRDefault="00DF3217" w:rsidP="00AD5F47">
      <w:pPr>
        <w:jc w:val="center"/>
        <w:rPr>
          <w:sz w:val="28"/>
          <w:szCs w:val="28"/>
        </w:rPr>
      </w:pPr>
    </w:p>
    <w:p w:rsidR="002A6C93" w:rsidRDefault="002A6C93" w:rsidP="002A6C93">
      <w:pPr>
        <w:jc w:val="center"/>
        <w:rPr>
          <w:sz w:val="28"/>
          <w:szCs w:val="28"/>
        </w:rPr>
      </w:pPr>
    </w:p>
    <w:p w:rsidR="004C54F0" w:rsidRDefault="0072408B" w:rsidP="002A6C93">
      <w:r w:rsidRPr="0072408B">
        <w:t>Christopher Brown</w:t>
      </w:r>
      <w:r w:rsidR="00D02602">
        <w:t xml:space="preserve">, </w:t>
      </w:r>
      <w:r w:rsidR="002A6C93">
        <w:t>Professor of Economics, Arkansas State University</w:t>
      </w:r>
      <w:r w:rsidR="002A6C93">
        <w:br/>
      </w:r>
      <w:r w:rsidR="00D02602">
        <w:t>Cheng Hao</w:t>
      </w:r>
      <w:r w:rsidR="002A6C93">
        <w:t>, Ph.D. Candidate, Zhongnan University of Economics and Law, Wuhan, Hubei, PR of China</w:t>
      </w:r>
    </w:p>
    <w:p w:rsidR="004C54F0" w:rsidRDefault="004C54F0" w:rsidP="004C54F0">
      <w:pPr>
        <w:jc w:val="right"/>
      </w:pPr>
    </w:p>
    <w:p w:rsidR="0072408B" w:rsidRPr="00002217" w:rsidRDefault="0072408B" w:rsidP="00002217">
      <w:pPr>
        <w:ind w:left="720" w:right="720"/>
        <w:jc w:val="both"/>
        <w:rPr>
          <w:sz w:val="20"/>
          <w:szCs w:val="20"/>
        </w:rPr>
      </w:pPr>
      <w:r w:rsidRPr="00002217">
        <w:rPr>
          <w:b/>
          <w:bCs/>
          <w:sz w:val="20"/>
          <w:szCs w:val="20"/>
        </w:rPr>
        <w:t>Abstract:</w:t>
      </w:r>
      <w:r w:rsidRPr="00002217">
        <w:rPr>
          <w:sz w:val="20"/>
          <w:szCs w:val="20"/>
        </w:rPr>
        <w:t xml:space="preserve"> The credit default swap (CDS) is implicated in the global financial crises because a vast market for securities collateralized by subprime mortgages and consumer debt could not have materialized if hedge funds and other holders of these instruments lacked a means of hedging default “risk”. Some argue that the problem with the CDS was a mispricing of risk owing to </w:t>
      </w:r>
      <w:r w:rsidR="00AD5F47" w:rsidRPr="00002217">
        <w:rPr>
          <w:sz w:val="20"/>
          <w:szCs w:val="20"/>
        </w:rPr>
        <w:t xml:space="preserve">a lack of transparency or </w:t>
      </w:r>
      <w:r w:rsidRPr="00002217">
        <w:rPr>
          <w:sz w:val="20"/>
          <w:szCs w:val="20"/>
        </w:rPr>
        <w:t>the use of faulty actuarial techniques in setting CDS spreads. Th</w:t>
      </w:r>
      <w:r w:rsidR="00AD5F47" w:rsidRPr="00002217">
        <w:rPr>
          <w:sz w:val="20"/>
          <w:szCs w:val="20"/>
        </w:rPr>
        <w:t xml:space="preserve">e argument is made </w:t>
      </w:r>
      <w:r w:rsidRPr="00002217">
        <w:rPr>
          <w:sz w:val="20"/>
          <w:szCs w:val="20"/>
        </w:rPr>
        <w:t>that the CDS is an inherently defective concept because it is based on the assumption that future states of the economy are subject to probabilistic risk as opposed to uncertainty in the Keynes-Knight-Shackle-Davidson sense.</w:t>
      </w:r>
      <w:r w:rsidR="00AD5F47" w:rsidRPr="00002217">
        <w:rPr>
          <w:sz w:val="20"/>
          <w:szCs w:val="20"/>
        </w:rPr>
        <w:t xml:space="preserve"> The CDS also manifests the paradox of derivatives. By enabling individual money managers to safety increase leverage, it causes a system-wide buildup of leverage and financial fragility. </w:t>
      </w:r>
    </w:p>
    <w:p w:rsidR="0072408B" w:rsidRDefault="0072408B" w:rsidP="004C54F0">
      <w:pPr>
        <w:ind w:left="720" w:right="720"/>
        <w:rPr>
          <w:sz w:val="20"/>
          <w:szCs w:val="20"/>
        </w:rPr>
      </w:pPr>
    </w:p>
    <w:p w:rsidR="0072408B" w:rsidRPr="002A6C93" w:rsidRDefault="0072408B" w:rsidP="00653D3A">
      <w:pPr>
        <w:jc w:val="both"/>
        <w:rPr>
          <w:sz w:val="22"/>
          <w:szCs w:val="22"/>
        </w:rPr>
      </w:pPr>
      <w:r w:rsidRPr="002A6C93">
        <w:rPr>
          <w:b/>
          <w:bCs/>
          <w:sz w:val="22"/>
          <w:szCs w:val="22"/>
        </w:rPr>
        <w:t>Keywords:</w:t>
      </w:r>
      <w:r w:rsidRPr="002A6C93">
        <w:rPr>
          <w:sz w:val="22"/>
          <w:szCs w:val="22"/>
        </w:rPr>
        <w:t xml:space="preserve"> Credit default swaps, collateralized debt obligations, risk and uncertainty</w:t>
      </w:r>
    </w:p>
    <w:p w:rsidR="0072408B" w:rsidRPr="002A6C93" w:rsidRDefault="0072408B" w:rsidP="00653D3A">
      <w:pPr>
        <w:jc w:val="both"/>
        <w:rPr>
          <w:sz w:val="22"/>
          <w:szCs w:val="22"/>
        </w:rPr>
      </w:pPr>
      <w:r w:rsidRPr="002A6C93">
        <w:rPr>
          <w:b/>
          <w:bCs/>
          <w:sz w:val="22"/>
          <w:szCs w:val="22"/>
        </w:rPr>
        <w:br/>
        <w:t>JEL Classification Codes:</w:t>
      </w:r>
      <w:r w:rsidRPr="002A6C93">
        <w:rPr>
          <w:sz w:val="22"/>
          <w:szCs w:val="22"/>
        </w:rPr>
        <w:t xml:space="preserve"> </w:t>
      </w:r>
      <w:r w:rsidR="00B62587" w:rsidRPr="002A6C93">
        <w:rPr>
          <w:sz w:val="22"/>
          <w:szCs w:val="22"/>
        </w:rPr>
        <w:t>G01, D81, E44</w:t>
      </w:r>
      <w:r w:rsidRPr="002A6C93">
        <w:rPr>
          <w:sz w:val="22"/>
          <w:szCs w:val="22"/>
        </w:rPr>
        <w:t xml:space="preserve"> </w:t>
      </w:r>
    </w:p>
    <w:p w:rsidR="002A6C93" w:rsidRPr="003A438A" w:rsidRDefault="002A6C93" w:rsidP="003A438A">
      <w:pPr>
        <w:ind w:left="720" w:right="720"/>
        <w:jc w:val="center"/>
        <w:rPr>
          <w:b/>
          <w:sz w:val="18"/>
          <w:szCs w:val="18"/>
        </w:rPr>
      </w:pPr>
    </w:p>
    <w:p w:rsidR="006E0371" w:rsidRDefault="006E0371" w:rsidP="00002217"/>
    <w:p w:rsidR="00002217" w:rsidRDefault="00D811DE" w:rsidP="00002217">
      <w:r>
        <w:t xml:space="preserve">     </w:t>
      </w:r>
      <w:r w:rsidR="000972D5" w:rsidRPr="00002217">
        <w:t>The credit default swap (CDS), a device that permits</w:t>
      </w:r>
      <w:r w:rsidR="00610F58" w:rsidRPr="00002217">
        <w:t xml:space="preserve"> money managers to hedge </w:t>
      </w:r>
      <w:r w:rsidR="000972D5" w:rsidRPr="00002217">
        <w:t>default risk on collateralized debt obligations (CDOs), has proven to be an especially malign product of modern financial engineering.</w:t>
      </w:r>
      <w:r w:rsidR="00002217" w:rsidRPr="00002217">
        <w:rPr>
          <w:rStyle w:val="FootnoteReference"/>
        </w:rPr>
        <w:footnoteReference w:id="2"/>
      </w:r>
      <w:r w:rsidR="000972D5" w:rsidRPr="00002217">
        <w:t xml:space="preserve"> </w:t>
      </w:r>
      <w:r w:rsidR="00D01DA5" w:rsidRPr="00002217">
        <w:t>Scrutiny of the CDS brings into relief a paradox that is intrinsic to derivatives. A single financial entity can safely in</w:t>
      </w:r>
      <w:r w:rsidR="00D57AC3" w:rsidRPr="00002217">
        <w:t>crease its leverage by the use of portfolio insurance. However, the widespread use of portfolio insurance, to the extent that it catalyzes an overall or average increase in leverage ratios,</w:t>
      </w:r>
      <w:r w:rsidR="003A438A">
        <w:t xml:space="preserve"> </w:t>
      </w:r>
      <w:r w:rsidR="003A438A" w:rsidRPr="00002217">
        <w:t>renders the economic system more vulnerable to a painful and protracted phase of de-leveraging. Financial stability (at the level of the household, firm, government unit, or in the aggregate sense) is based on a sound relationship between income streams and debt service. A widening disparity between the growth rates of private debt outstanding and income is a salient statistical feature of the era of “financialization” (see Figure 1).</w:t>
      </w:r>
      <w:r w:rsidR="003A438A">
        <w:rPr>
          <w:rStyle w:val="FootnoteReference"/>
        </w:rPr>
        <w:footnoteReference w:id="3"/>
      </w:r>
      <w:r w:rsidR="003A438A" w:rsidRPr="00002217">
        <w:t xml:space="preserve">  </w:t>
      </w:r>
      <w:r w:rsidR="00D57AC3" w:rsidRPr="00002217">
        <w:t xml:space="preserve"> </w:t>
      </w:r>
    </w:p>
    <w:p w:rsidR="00002217" w:rsidRDefault="00002217" w:rsidP="00002217">
      <w:pPr>
        <w:jc w:val="center"/>
      </w:pPr>
      <w:r w:rsidRPr="00002217">
        <w:rPr>
          <w:noProof/>
          <w:lang w:eastAsia="en-US"/>
        </w:rPr>
        <w:lastRenderedPageBreak/>
        <w:drawing>
          <wp:inline distT="0" distB="0" distL="0" distR="0">
            <wp:extent cx="3742835" cy="31940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2835" cy="3194050"/>
                    </a:xfrm>
                    <a:prstGeom prst="rect">
                      <a:avLst/>
                    </a:prstGeom>
                    <a:noFill/>
                    <a:ln>
                      <a:noFill/>
                    </a:ln>
                  </pic:spPr>
                </pic:pic>
              </a:graphicData>
            </a:graphic>
          </wp:inline>
        </w:drawing>
      </w:r>
    </w:p>
    <w:p w:rsidR="00002217" w:rsidRDefault="00002217" w:rsidP="00002217"/>
    <w:p w:rsidR="005A160F" w:rsidRPr="00002217" w:rsidRDefault="007335A2" w:rsidP="00002217">
      <w:pPr>
        <w:rPr>
          <w:b/>
          <w:bCs/>
        </w:rPr>
      </w:pPr>
      <w:r w:rsidRPr="00002217">
        <w:t>D</w:t>
      </w:r>
      <w:r w:rsidR="00D57AC3" w:rsidRPr="00002217">
        <w:t xml:space="preserve">erivatives </w:t>
      </w:r>
      <w:r w:rsidRPr="00002217">
        <w:t xml:space="preserve">count </w:t>
      </w:r>
      <w:r w:rsidR="00D57AC3" w:rsidRPr="00002217">
        <w:t>as “financial weapons of mass destruction” (Buffett</w:t>
      </w:r>
      <w:r w:rsidR="00304820" w:rsidRPr="00002217">
        <w:t xml:space="preserve"> 2002</w:t>
      </w:r>
      <w:r w:rsidR="00D57AC3" w:rsidRPr="00002217">
        <w:t>)</w:t>
      </w:r>
      <w:r w:rsidRPr="00002217">
        <w:t xml:space="preserve"> largely beca</w:t>
      </w:r>
      <w:r w:rsidR="002D1722" w:rsidRPr="00002217">
        <w:t xml:space="preserve">use they act to loosen the constraint imposed by current income flows on the growth </w:t>
      </w:r>
      <w:r w:rsidR="00AD10FC" w:rsidRPr="00002217">
        <w:t>of debt. Or, to put it in Minsky</w:t>
      </w:r>
      <w:r w:rsidR="002D1722" w:rsidRPr="00002217">
        <w:t>an terms, derivatives incentivize money managers to shift from hedge or specula</w:t>
      </w:r>
      <w:r w:rsidR="00AD10FC" w:rsidRPr="00002217">
        <w:t>tive positions to Ponzi finance (see Minsky 1986).</w:t>
      </w:r>
      <w:r w:rsidR="00C24F79" w:rsidRPr="00002217">
        <w:br/>
        <w:t xml:space="preserve">     The purpose here is </w:t>
      </w:r>
      <w:r w:rsidR="003E3444" w:rsidRPr="00002217">
        <w:t xml:space="preserve">to examine </w:t>
      </w:r>
      <w:r w:rsidR="00566756" w:rsidRPr="00002217">
        <w:t xml:space="preserve">CDS-related </w:t>
      </w:r>
      <w:r w:rsidR="003E3444" w:rsidRPr="00002217">
        <w:t xml:space="preserve">questions </w:t>
      </w:r>
      <w:r w:rsidR="00C24F79" w:rsidRPr="00002217">
        <w:t>through the Post Keynesian lens</w:t>
      </w:r>
      <w:r w:rsidR="00653D3A" w:rsidRPr="00002217">
        <w:t xml:space="preserve">. First, </w:t>
      </w:r>
      <w:r w:rsidR="001B2B9C" w:rsidRPr="00002217">
        <w:t xml:space="preserve">can the frequency of “credit events” such as delinquency, default, debt rescheduling, or ratings downgrade be predicted by the application of actuarial science? That is, are credit events subject to probabilistic risk or </w:t>
      </w:r>
      <w:r w:rsidR="004B5C24" w:rsidRPr="00002217">
        <w:t xml:space="preserve">they characterized by non-probabilistic uncertainty? We argue the answer </w:t>
      </w:r>
      <w:r w:rsidR="00DF3217" w:rsidRPr="00002217">
        <w:t xml:space="preserve">matters </w:t>
      </w:r>
      <w:r w:rsidR="004B5C24" w:rsidRPr="00002217">
        <w:t>because</w:t>
      </w:r>
      <w:r w:rsidR="00DF3217" w:rsidRPr="00002217">
        <w:t xml:space="preserve">, </w:t>
      </w:r>
      <w:r w:rsidR="004B5C24" w:rsidRPr="00002217">
        <w:t xml:space="preserve">if it is the latter, </w:t>
      </w:r>
      <w:r w:rsidR="00DF3217" w:rsidRPr="00002217">
        <w:t>the CDS is irremediably defective</w:t>
      </w:r>
      <w:r w:rsidR="004B5C24" w:rsidRPr="00002217">
        <w:t xml:space="preserve"> </w:t>
      </w:r>
      <w:r w:rsidR="00DF3217" w:rsidRPr="00002217">
        <w:t>financial product.</w:t>
      </w:r>
      <w:r w:rsidR="00D0376A" w:rsidRPr="00002217">
        <w:br/>
        <w:t xml:space="preserve">     Another question pertains to the role played by the CDS in the unprecedented household debt surge of 1995-2007. </w:t>
      </w:r>
      <w:r w:rsidR="00304820" w:rsidRPr="00002217">
        <w:t xml:space="preserve">We argue that the CDS was a crucial innovation in terms of creating a market for securities collateralized by home equity, auto and credit card receivables, and student loans. </w:t>
      </w:r>
      <w:r w:rsidR="00CB72CB" w:rsidRPr="00002217">
        <w:t xml:space="preserve">Finally, we </w:t>
      </w:r>
      <w:r w:rsidR="00453B3F" w:rsidRPr="00002217">
        <w:t>examine the importance of the CDS in incentivizing systematically important financial institutions to pursue high-leverage strategies.</w:t>
      </w:r>
      <w:r w:rsidR="00D0376A" w:rsidRPr="00002217">
        <w:t xml:space="preserve">  </w:t>
      </w:r>
      <w:r w:rsidR="00DF3217" w:rsidRPr="00002217">
        <w:t xml:space="preserve">    </w:t>
      </w:r>
    </w:p>
    <w:p w:rsidR="0088432A" w:rsidRPr="00002217" w:rsidRDefault="005A160F" w:rsidP="00002217">
      <w:r w:rsidRPr="00002217">
        <w:t xml:space="preserve">     </w:t>
      </w:r>
      <w:r w:rsidR="00F118C8" w:rsidRPr="00002217">
        <w:t>Regulatory treatment of the CDS (especially within the U.S.) highlights the importance of abstract economic theory as normative policy guide.</w:t>
      </w:r>
      <w:r w:rsidR="00527FE1" w:rsidRPr="00002217">
        <w:t xml:space="preserve"> </w:t>
      </w:r>
      <w:r w:rsidR="00527FE1" w:rsidRPr="00002217">
        <w:rPr>
          <w:bCs/>
        </w:rPr>
        <w:t>Shyamala Gopinth, Deputy Director of the Reserve Bank of India, commented that “[t]he pursuit of complete markets, before the crisis, was axiomatically believed to be an unalloyed virtue and the policy and regulatory frameworks were expected to have this as an explicit policy objective. It had become the holy grail of market regulation and everything else followed from this fundamental truth” (Gopinth 2010, 1-2)</w:t>
      </w:r>
      <w:r w:rsidR="00527FE1" w:rsidRPr="00002217">
        <w:rPr>
          <w:b/>
          <w:bCs/>
        </w:rPr>
        <w:t>.</w:t>
      </w:r>
      <w:r w:rsidR="00F118C8" w:rsidRPr="00002217">
        <w:t xml:space="preserve"> The existence of</w:t>
      </w:r>
      <w:r w:rsidR="00DF3217" w:rsidRPr="00002217">
        <w:t xml:space="preserve"> </w:t>
      </w:r>
      <w:r w:rsidR="00030D71" w:rsidRPr="00002217">
        <w:t xml:space="preserve">a </w:t>
      </w:r>
      <w:r w:rsidR="005D779D" w:rsidRPr="00002217">
        <w:t>complete set of markets for future and contingent claims is a requirement for Pareto-efficiency in Arrow-Debreu economies (see Debreu 1954</w:t>
      </w:r>
      <w:r w:rsidR="004A75F3" w:rsidRPr="00002217">
        <w:t xml:space="preserve"> and Duffie and Huang 1985).</w:t>
      </w:r>
      <w:r w:rsidR="005D779D" w:rsidRPr="00002217">
        <w:t xml:space="preserve"> Viewed in this </w:t>
      </w:r>
      <w:r w:rsidR="005D779D" w:rsidRPr="00002217">
        <w:lastRenderedPageBreak/>
        <w:t>context, financial engineers were seen as doing the important work of completing markets, or of creating financial instruments that permit gambles on all possible future states of the world. Thus, the proliferation of derivatives served the desideratum of pushing real life to closer approximation of the Arrow-Debreu economy, conceived of as a kind of Platonic form.</w:t>
      </w:r>
    </w:p>
    <w:p w:rsidR="00C8606B" w:rsidRPr="00002217" w:rsidRDefault="00757E6C" w:rsidP="00002217">
      <w:r w:rsidRPr="00002217">
        <w:rPr>
          <w:vertAlign w:val="superscript"/>
        </w:rPr>
        <w:t xml:space="preserve">     </w:t>
      </w:r>
      <w:r w:rsidR="00F67E60" w:rsidRPr="00002217">
        <w:t>Its putative utility to the representative, optimizing agent notwithstanding, the CDS</w:t>
      </w:r>
      <w:r w:rsidR="00C67359" w:rsidRPr="00002217">
        <w:t xml:space="preserve"> as  presenting configured </w:t>
      </w:r>
      <w:r w:rsidR="00F67E60" w:rsidRPr="00002217">
        <w:t>is a financial technology that overrides important and long established principles of insurance, law,</w:t>
      </w:r>
      <w:r w:rsidR="004A75F3" w:rsidRPr="00002217">
        <w:t xml:space="preserve"> and commerce</w:t>
      </w:r>
      <w:r w:rsidR="008B374D" w:rsidRPr="00002217">
        <w:t>.</w:t>
      </w:r>
      <w:r w:rsidR="004A75F3" w:rsidRPr="00002217">
        <w:t xml:space="preserve"> For example, the principle </w:t>
      </w:r>
      <w:r w:rsidR="00CD7262" w:rsidRPr="00002217">
        <w:t xml:space="preserve">that </w:t>
      </w:r>
      <w:r w:rsidR="00BE5395" w:rsidRPr="00002217">
        <w:t>insured parties must</w:t>
      </w:r>
      <w:r w:rsidR="00797F30" w:rsidRPr="00002217">
        <w:t xml:space="preserve"> have an </w:t>
      </w:r>
      <w:r w:rsidR="00CD7262" w:rsidRPr="00002217">
        <w:t xml:space="preserve">insurable interest </w:t>
      </w:r>
      <w:r w:rsidR="00BE5395" w:rsidRPr="00002217">
        <w:t>has been established in common law since the seventeenth century.</w:t>
      </w:r>
      <w:r w:rsidR="003A5ADC" w:rsidRPr="00002217">
        <w:t xml:space="preserve"> But the preponderance of CDS payouts are received by “naked” counterparties (like </w:t>
      </w:r>
      <w:r w:rsidR="00A24552" w:rsidRPr="00002217">
        <w:t>John Paulson’s hedge fund),</w:t>
      </w:r>
      <w:r w:rsidR="003A5ADC" w:rsidRPr="00002217">
        <w:t xml:space="preserve"> meaning those with no assets at risk.</w:t>
      </w:r>
      <w:r w:rsidR="00002217">
        <w:rPr>
          <w:rStyle w:val="FootnoteReference"/>
        </w:rPr>
        <w:footnoteReference w:id="4"/>
      </w:r>
      <w:r w:rsidR="003A5ADC" w:rsidRPr="00002217">
        <w:t xml:space="preserve"> </w:t>
      </w:r>
      <w:r w:rsidR="008B374D" w:rsidRPr="00002217">
        <w:t>The evolved legal solution to the problem of hidden leverage</w:t>
      </w:r>
      <w:r w:rsidR="00A24552" w:rsidRPr="00002217">
        <w:t xml:space="preserve"> </w:t>
      </w:r>
      <w:r w:rsidR="008B374D" w:rsidRPr="00002217">
        <w:t xml:space="preserve"> is to punish secret lien holders </w:t>
      </w:r>
      <w:r w:rsidR="00A24552" w:rsidRPr="00002217">
        <w:t>by subordinating their claims to those of other creditors in bankruptcy proceedings.</w:t>
      </w:r>
      <w:r w:rsidR="006979CF">
        <w:rPr>
          <w:rStyle w:val="FootnoteReference"/>
        </w:rPr>
        <w:footnoteReference w:id="5"/>
      </w:r>
      <w:r w:rsidR="00A24552" w:rsidRPr="00002217">
        <w:t xml:space="preserve"> </w:t>
      </w:r>
      <w:r w:rsidR="005A14BE" w:rsidRPr="00002217">
        <w:t>The U.S. Uniform Commercial Code at present does not require the reporting of liabilities created by the sal</w:t>
      </w:r>
      <w:r w:rsidR="003703D5" w:rsidRPr="00002217">
        <w:t xml:space="preserve">e of credit default protection, which makes the buyers of such protection secret lien holders. But the time-tested institutional remedy </w:t>
      </w:r>
      <w:r w:rsidR="00F209BD" w:rsidRPr="00002217">
        <w:t xml:space="preserve">is inapplicable </w:t>
      </w:r>
      <w:r w:rsidR="003703D5" w:rsidRPr="00002217">
        <w:t xml:space="preserve">in this case, as </w:t>
      </w:r>
      <w:r w:rsidR="009126B4" w:rsidRPr="00002217">
        <w:t>CDS counterparties receive preferential treatment in bankruptcy.</w:t>
      </w:r>
      <w:r w:rsidR="006979CF">
        <w:rPr>
          <w:rStyle w:val="FootnoteReference"/>
        </w:rPr>
        <w:footnoteReference w:id="6"/>
      </w:r>
    </w:p>
    <w:p w:rsidR="00B24FF3" w:rsidRPr="00002217" w:rsidRDefault="00C8606B" w:rsidP="00002217">
      <w:r w:rsidRPr="00002217">
        <w:t xml:space="preserve">     </w:t>
      </w:r>
      <w:r w:rsidR="00B214E2" w:rsidRPr="00002217">
        <w:t xml:space="preserve">The takeaway from the financial crisis, as codified in the Dodd-Frank financial reform legislation (and specifically Title VII of the Act, “Wall Street Transparency and Accountability”) appears to </w:t>
      </w:r>
      <w:r w:rsidR="00D37878" w:rsidRPr="00002217">
        <w:t xml:space="preserve">be </w:t>
      </w:r>
      <w:r w:rsidR="00B214E2" w:rsidRPr="00002217">
        <w:t xml:space="preserve">that </w:t>
      </w:r>
      <w:r w:rsidR="00AD10FC" w:rsidRPr="00002217">
        <w:t xml:space="preserve">CDSs </w:t>
      </w:r>
      <w:r w:rsidR="00B214E2" w:rsidRPr="00002217">
        <w:t>are not an inherently</w:t>
      </w:r>
      <w:r w:rsidR="00992C52" w:rsidRPr="00002217">
        <w:t xml:space="preserve"> bad thing. Rather,   </w:t>
      </w:r>
      <w:r w:rsidR="00D37878" w:rsidRPr="00002217">
        <w:t>t</w:t>
      </w:r>
      <w:r w:rsidR="00072B1B" w:rsidRPr="00002217">
        <w:t>he legal and regulatory environment</w:t>
      </w:r>
      <w:r w:rsidR="00992C52" w:rsidRPr="00002217">
        <w:t xml:space="preserve"> </w:t>
      </w:r>
      <w:r w:rsidR="007C02AC" w:rsidRPr="00002217">
        <w:t xml:space="preserve">presented opportunities </w:t>
      </w:r>
      <w:r w:rsidR="00992C52" w:rsidRPr="00002217">
        <w:t xml:space="preserve">to derive huge profits by establishing rates on credit default insurance </w:t>
      </w:r>
      <w:r w:rsidR="00F67E60" w:rsidRPr="00002217">
        <w:t>that bore virtually no relation to the likelihood of credit events affecting reference assets</w:t>
      </w:r>
      <w:r w:rsidRPr="00002217">
        <w:t>. The mispricing of risk is wid</w:t>
      </w:r>
      <w:r w:rsidR="007C02AC" w:rsidRPr="00002217">
        <w:t xml:space="preserve">ely identified as a primary, </w:t>
      </w:r>
      <w:r w:rsidRPr="00002217">
        <w:t xml:space="preserve">perhaps </w:t>
      </w:r>
      <w:r w:rsidRPr="00002217">
        <w:rPr>
          <w:i/>
        </w:rPr>
        <w:t>the</w:t>
      </w:r>
      <w:r w:rsidRPr="00002217">
        <w:t xml:space="preserve"> primary, cause of the financial crisis.</w:t>
      </w:r>
      <w:r w:rsidR="006979CF">
        <w:br/>
      </w:r>
      <w:r w:rsidR="007C02AC" w:rsidRPr="00002217">
        <w:t xml:space="preserve">     Insurance rates established by sound actuarial methods should provide an accurate measure of the risk of </w:t>
      </w:r>
      <w:r w:rsidR="00072B1B" w:rsidRPr="00002217">
        <w:t xml:space="preserve">events like </w:t>
      </w:r>
      <w:r w:rsidR="007C02AC" w:rsidRPr="00002217">
        <w:t>theft, fire</w:t>
      </w:r>
      <w:r w:rsidR="00072B1B" w:rsidRPr="00002217">
        <w:t>, flood, or disease.</w:t>
      </w:r>
      <w:r w:rsidR="0056589F" w:rsidRPr="00002217">
        <w:t xml:space="preserve"> </w:t>
      </w:r>
      <w:r w:rsidR="00203AB8" w:rsidRPr="00002217">
        <w:t>It is clear now that</w:t>
      </w:r>
      <w:r w:rsidR="0056589F" w:rsidRPr="00002217">
        <w:t xml:space="preserve"> CDS spreads </w:t>
      </w:r>
      <w:r w:rsidR="00203AB8" w:rsidRPr="00002217">
        <w:t>leading up to the crisis lacked any basis in sober</w:t>
      </w:r>
      <w:r w:rsidR="0056589F" w:rsidRPr="00002217">
        <w:t xml:space="preserve"> risk assessment.</w:t>
      </w:r>
      <w:r w:rsidR="00203AB8" w:rsidRPr="00002217">
        <w:t xml:space="preserve"> There was price-setting behavior by a handful of CDS sellers</w:t>
      </w:r>
      <w:r w:rsidR="0056589F" w:rsidRPr="00002217">
        <w:t xml:space="preserve"> </w:t>
      </w:r>
      <w:r w:rsidR="0077516A" w:rsidRPr="00002217">
        <w:t>(</w:t>
      </w:r>
      <w:r w:rsidR="000D6A6F" w:rsidRPr="00002217">
        <w:t>such as AIG, Lehman Brothers, and</w:t>
      </w:r>
      <w:r w:rsidR="00203AB8" w:rsidRPr="00002217">
        <w:t xml:space="preserve"> Bear Stearns</w:t>
      </w:r>
      <w:r w:rsidR="0077516A" w:rsidRPr="00002217">
        <w:t xml:space="preserve">) </w:t>
      </w:r>
      <w:r w:rsidR="000D6A6F" w:rsidRPr="00002217">
        <w:t xml:space="preserve">that dominated the </w:t>
      </w:r>
      <w:r w:rsidR="0077516A" w:rsidRPr="00002217">
        <w:t xml:space="preserve"> over-the-counter market</w:t>
      </w:r>
      <w:r w:rsidR="00203AB8" w:rsidRPr="00002217">
        <w:t xml:space="preserve">, and, taking into account the lack of capital requirements as well as the </w:t>
      </w:r>
      <w:r w:rsidR="00BB4CE0" w:rsidRPr="00002217">
        <w:t>design of compensation systems within these units, it is likely the CDS spreads were set to maximize sellers’ revenues.</w:t>
      </w:r>
      <w:r w:rsidR="00B24FF3" w:rsidRPr="00002217">
        <w:t xml:space="preserve"> </w:t>
      </w:r>
      <w:r w:rsidR="00E543CF" w:rsidRPr="00002217">
        <w:t xml:space="preserve">The CDS market also featured a strange circuit of </w:t>
      </w:r>
      <w:r w:rsidR="00E30B82" w:rsidRPr="00002217">
        <w:t>mutual</w:t>
      </w:r>
      <w:r w:rsidR="00E543CF" w:rsidRPr="00002217">
        <w:t xml:space="preserve"> reinforcement between CDS spreads and </w:t>
      </w:r>
      <w:r w:rsidR="00E543CF" w:rsidRPr="00002217">
        <w:lastRenderedPageBreak/>
        <w:t>CDO ratings issued by Moody’s and Standard and Poor’</w:t>
      </w:r>
      <w:r w:rsidR="000D6A6F" w:rsidRPr="00002217">
        <w:t xml:space="preserve">s </w:t>
      </w:r>
      <w:r w:rsidR="008F4B5C" w:rsidRPr="00002217">
        <w:t xml:space="preserve"> </w:t>
      </w:r>
      <w:r w:rsidR="00E30B82" w:rsidRPr="00002217">
        <w:t>The investment</w:t>
      </w:r>
      <w:r w:rsidR="00E543CF" w:rsidRPr="00002217">
        <w:t xml:space="preserve"> </w:t>
      </w:r>
      <w:r w:rsidR="00E30B82" w:rsidRPr="00002217">
        <w:t xml:space="preserve">grade </w:t>
      </w:r>
      <w:r w:rsidR="00E543CF" w:rsidRPr="00002217">
        <w:t xml:space="preserve">carried by many CDO tranches </w:t>
      </w:r>
      <w:r w:rsidR="00E92CF8" w:rsidRPr="00002217">
        <w:t xml:space="preserve">gave </w:t>
      </w:r>
      <w:r w:rsidR="00251C4C" w:rsidRPr="00002217">
        <w:t xml:space="preserve">dealers </w:t>
      </w:r>
      <w:r w:rsidR="00E30B82" w:rsidRPr="00002217">
        <w:t>a running defense against charges that CDS spreads were dangerously low.</w:t>
      </w:r>
      <w:r w:rsidR="00B24FF3" w:rsidRPr="00002217">
        <w:t xml:space="preserve"> </w:t>
      </w:r>
      <w:r w:rsidR="004C4C67" w:rsidRPr="00002217">
        <w:t>M</w:t>
      </w:r>
      <w:r w:rsidR="00B24FF3" w:rsidRPr="00002217">
        <w:t>odel</w:t>
      </w:r>
      <w:r w:rsidR="00251C4C" w:rsidRPr="00002217">
        <w:t>s used by the rating agencies</w:t>
      </w:r>
      <w:r w:rsidR="00B24FF3" w:rsidRPr="00002217">
        <w:t xml:space="preserve"> </w:t>
      </w:r>
      <w:r w:rsidR="00251C4C" w:rsidRPr="00002217">
        <w:t>generated</w:t>
      </w:r>
      <w:r w:rsidR="00595078" w:rsidRPr="00002217">
        <w:t xml:space="preserve"> “market implied” </w:t>
      </w:r>
      <w:r w:rsidR="00991AC3" w:rsidRPr="00002217">
        <w:t xml:space="preserve">CDO ratings on the “implicit </w:t>
      </w:r>
      <w:r w:rsidR="000822CF" w:rsidRPr="00002217">
        <w:t>assumption that financial markets,</w:t>
      </w:r>
      <w:r w:rsidR="000F2883" w:rsidRPr="00002217">
        <w:t xml:space="preserve"> </w:t>
      </w:r>
      <w:r w:rsidR="000822CF" w:rsidRPr="00002217">
        <w:t>and CDS markets in particular, can price default risk correctly” (Salmon 2009, 16).</w:t>
      </w:r>
    </w:p>
    <w:p w:rsidR="00A07888" w:rsidRPr="00002217" w:rsidRDefault="004C4C67" w:rsidP="00002217">
      <w:r w:rsidRPr="00002217">
        <w:t xml:space="preserve">      </w:t>
      </w:r>
      <w:r w:rsidR="008C31DF" w:rsidRPr="00002217">
        <w:t xml:space="preserve">CDO’s present </w:t>
      </w:r>
      <w:r w:rsidR="00EB680D" w:rsidRPr="00002217">
        <w:t xml:space="preserve">seemingly intractable </w:t>
      </w:r>
      <w:r w:rsidR="008C31DF" w:rsidRPr="00002217">
        <w:t xml:space="preserve">problems </w:t>
      </w:r>
      <w:r w:rsidR="00C67359" w:rsidRPr="00002217">
        <w:t xml:space="preserve">for </w:t>
      </w:r>
      <w:r w:rsidR="008C31DF" w:rsidRPr="00002217">
        <w:t>risk a</w:t>
      </w:r>
      <w:r w:rsidR="00C67359" w:rsidRPr="00002217">
        <w:t>nalysts</w:t>
      </w:r>
      <w:r w:rsidR="008C31DF" w:rsidRPr="00002217">
        <w:t xml:space="preserve"> because, unlike conventional bonds, income streams originate from many debtors as opposed to a single (issuing) debtor. Presuming a risk analyst possesses good information on the quality of individual loans underlying CDOs, the </w:t>
      </w:r>
      <w:r w:rsidR="00444C08" w:rsidRPr="00002217">
        <w:t xml:space="preserve">real </w:t>
      </w:r>
      <w:r w:rsidR="008C31DF" w:rsidRPr="00002217">
        <w:t>difficult</w:t>
      </w:r>
      <w:r w:rsidR="00444C08" w:rsidRPr="00002217">
        <w:t>y</w:t>
      </w:r>
      <w:r w:rsidR="008C31DF" w:rsidRPr="00002217">
        <w:t xml:space="preserve"> lies in esti</w:t>
      </w:r>
      <w:r w:rsidR="00444C08" w:rsidRPr="00002217">
        <w:t>mating joint default probabilities</w:t>
      </w:r>
      <w:r w:rsidR="008C31DF" w:rsidRPr="00002217">
        <w:t xml:space="preserve"> (or risk correlation).</w:t>
      </w:r>
      <w:r w:rsidR="006979CF">
        <w:rPr>
          <w:rStyle w:val="FootnoteReference"/>
        </w:rPr>
        <w:footnoteReference w:id="7"/>
      </w:r>
      <w:r w:rsidR="008C31DF" w:rsidRPr="00002217">
        <w:t xml:space="preserve"> For conventional insurance, risk correlation </w:t>
      </w:r>
      <w:r w:rsidR="00595078" w:rsidRPr="00002217">
        <w:t>b</w:t>
      </w:r>
      <w:r w:rsidR="000822CF" w:rsidRPr="00002217">
        <w:t>e</w:t>
      </w:r>
      <w:r w:rsidR="00595078" w:rsidRPr="00002217">
        <w:t>tween entities included in a given risk pool can be accounted for by estimating a large number of conditional probabilities with the use of historical data.</w:t>
      </w:r>
      <w:r w:rsidR="008C31DF" w:rsidRPr="00002217">
        <w:t xml:space="preserve"> </w:t>
      </w:r>
      <w:r w:rsidR="00D954A9" w:rsidRPr="00002217">
        <w:t>But historical data that would allow for the measurement of default risk correlation between student loans, credit card receivables, or mortgages</w:t>
      </w:r>
      <w:r w:rsidR="00EB680D" w:rsidRPr="00002217">
        <w:t>, is not available.</w:t>
      </w:r>
      <w:r w:rsidR="00D954A9" w:rsidRPr="00002217">
        <w:t xml:space="preserve"> The solution to the problem came in the form of David Li’s (see Li 2000) </w:t>
      </w:r>
      <w:r w:rsidR="00B23AFF" w:rsidRPr="00002217">
        <w:t xml:space="preserve">now infamous </w:t>
      </w:r>
      <w:r w:rsidR="00D954A9" w:rsidRPr="00002217">
        <w:t>copula</w:t>
      </w:r>
      <w:r w:rsidR="003E688F" w:rsidRPr="00002217">
        <w:t>, which</w:t>
      </w:r>
      <w:r w:rsidR="00991AC3" w:rsidRPr="00002217">
        <w:t xml:space="preserve"> </w:t>
      </w:r>
      <w:r w:rsidR="00B62587" w:rsidRPr="00002217">
        <w:t xml:space="preserve">became standard paraphernalia </w:t>
      </w:r>
      <w:r w:rsidR="003E688F" w:rsidRPr="00002217">
        <w:t xml:space="preserve"> for Wall Street quants and prompted </w:t>
      </w:r>
      <w:r w:rsidR="00991AC3" w:rsidRPr="00002217">
        <w:t xml:space="preserve"> </w:t>
      </w:r>
      <w:r w:rsidR="003E688F" w:rsidRPr="00002217">
        <w:t xml:space="preserve">derivatives </w:t>
      </w:r>
      <w:r w:rsidR="00991AC3" w:rsidRPr="00002217">
        <w:t xml:space="preserve">expert Janet </w:t>
      </w:r>
      <w:r w:rsidR="003E688F" w:rsidRPr="00002217">
        <w:t>Tavakoli to comment that “[c</w:t>
      </w:r>
      <w:r w:rsidR="00A07888" w:rsidRPr="00002217">
        <w:t>]</w:t>
      </w:r>
      <w:r w:rsidR="003E688F" w:rsidRPr="00002217">
        <w:t xml:space="preserve">orrelation trading has </w:t>
      </w:r>
      <w:r w:rsidR="00A07888" w:rsidRPr="00002217">
        <w:t>spread through the psyche of finance like a highly contagious thought virus”(Tavakoli 2009, ).</w:t>
      </w:r>
    </w:p>
    <w:p w:rsidR="00E00DB1" w:rsidRPr="00002217" w:rsidRDefault="00A07888" w:rsidP="00002217">
      <w:r w:rsidRPr="00002217">
        <w:t xml:space="preserve">     </w:t>
      </w:r>
      <w:r w:rsidR="00991AC3" w:rsidRPr="00002217">
        <w:t xml:space="preserve"> Li</w:t>
      </w:r>
      <w:r w:rsidR="00BD75AE" w:rsidRPr="00002217">
        <w:t>’s</w:t>
      </w:r>
      <w:r w:rsidR="00991AC3" w:rsidRPr="00002217">
        <w:t xml:space="preserve"> copula is a complex formula that </w:t>
      </w:r>
      <w:r w:rsidR="00BD75AE" w:rsidRPr="00002217">
        <w:t xml:space="preserve">applies the “broken heart” syndrome (used by actuaries to chart life expectancy after the death of a spouse) to produce a single measure of correlation risk known in the industry as “gamma.” </w:t>
      </w:r>
      <w:r w:rsidR="00EB680D" w:rsidRPr="00002217">
        <w:t xml:space="preserve">It also uses current market information—CDS spreads—as opposed to (nonexistent) time series data </w:t>
      </w:r>
      <w:r w:rsidR="000F2883" w:rsidRPr="00002217">
        <w:t>as informational input. Thus Li’s copula presupposed an “efficient” swaps market, meaning CDS spreads could be trusted to provide accurate information</w:t>
      </w:r>
      <w:r w:rsidR="00913749" w:rsidRPr="00002217">
        <w:t xml:space="preserve"> about the likelihood </w:t>
      </w:r>
      <w:r w:rsidR="00451E70" w:rsidRPr="00002217">
        <w:t>of CDO-linked credit event—an assumption that, taking into account the structure and opaqueness of the CDS market, should have been dismissed out of hand. That</w:t>
      </w:r>
      <w:r w:rsidR="000F2883" w:rsidRPr="00002217">
        <w:t xml:space="preserve"> Li’s copula </w:t>
      </w:r>
      <w:r w:rsidR="00451E70" w:rsidRPr="00002217">
        <w:t xml:space="preserve">made such an impact was largely a function of convenience and opportunism. </w:t>
      </w:r>
      <w:r w:rsidRPr="00002217">
        <w:t xml:space="preserve">But </w:t>
      </w:r>
      <w:r w:rsidR="00451E70" w:rsidRPr="00002217">
        <w:t xml:space="preserve">it also testifies to </w:t>
      </w:r>
      <w:r w:rsidR="00813021" w:rsidRPr="00002217">
        <w:t xml:space="preserve">the dangers inherent in the </w:t>
      </w:r>
      <w:r w:rsidRPr="00002217">
        <w:t>practical application of the efficient market hypothesis.</w:t>
      </w:r>
    </w:p>
    <w:p w:rsidR="00991AC3" w:rsidRPr="006979CF" w:rsidRDefault="00E00DB1" w:rsidP="00F118C8">
      <w:pPr>
        <w:jc w:val="center"/>
        <w:rPr>
          <w:b/>
          <w:bCs/>
        </w:rPr>
      </w:pPr>
      <w:r w:rsidRPr="006979CF">
        <w:rPr>
          <w:b/>
          <w:bCs/>
        </w:rPr>
        <w:t xml:space="preserve">Credit Events are </w:t>
      </w:r>
      <w:r w:rsidR="000F5204" w:rsidRPr="006979CF">
        <w:rPr>
          <w:b/>
          <w:bCs/>
        </w:rPr>
        <w:t>s</w:t>
      </w:r>
      <w:r w:rsidR="005F37FE" w:rsidRPr="006979CF">
        <w:rPr>
          <w:b/>
          <w:bCs/>
        </w:rPr>
        <w:t xml:space="preserve">ubject to </w:t>
      </w:r>
      <w:r w:rsidRPr="006979CF">
        <w:rPr>
          <w:b/>
          <w:bCs/>
        </w:rPr>
        <w:t>Uncertainty, Not Risk</w:t>
      </w:r>
      <w:r w:rsidR="00306ADB" w:rsidRPr="006979CF">
        <w:rPr>
          <w:b/>
          <w:bCs/>
        </w:rPr>
        <w:t xml:space="preserve"> </w:t>
      </w:r>
    </w:p>
    <w:p w:rsidR="00E00DB1" w:rsidRPr="00204210" w:rsidRDefault="00E00DB1" w:rsidP="00E00DB1">
      <w:pPr>
        <w:jc w:val="center"/>
        <w:rPr>
          <w:b/>
          <w:bCs/>
          <w:sz w:val="22"/>
          <w:szCs w:val="22"/>
          <w:vertAlign w:val="superscript"/>
        </w:rPr>
      </w:pPr>
    </w:p>
    <w:p w:rsidR="00F21464" w:rsidRPr="006979CF" w:rsidRDefault="00991AC3" w:rsidP="006979CF">
      <w:r w:rsidRPr="00204210">
        <w:rPr>
          <w:sz w:val="22"/>
          <w:szCs w:val="22"/>
          <w:vertAlign w:val="superscript"/>
        </w:rPr>
        <w:t xml:space="preserve">     </w:t>
      </w:r>
      <w:r w:rsidR="00CA6AA1" w:rsidRPr="006979CF">
        <w:t xml:space="preserve">The post-crisis furor over Li’s copula has </w:t>
      </w:r>
      <w:r w:rsidR="00A7125B" w:rsidRPr="006979CF">
        <w:t>passed over the bigger question, which is: A</w:t>
      </w:r>
      <w:r w:rsidR="00CA6AA1" w:rsidRPr="006979CF">
        <w:t xml:space="preserve">re CDO-related credit events subject to probabilistic risk or are they subject to uncertainty in the Knight-Keynes-Shackle-Davidson sense? </w:t>
      </w:r>
      <w:r w:rsidR="001F61EB" w:rsidRPr="006979CF">
        <w:t xml:space="preserve">The very existence of credit default insurance presumes that: (1) credit events are subject to risk—meaning </w:t>
      </w:r>
      <w:r w:rsidR="00EB4DFC" w:rsidRPr="006979CF">
        <w:t xml:space="preserve">they are </w:t>
      </w:r>
      <w:r w:rsidR="0055705D" w:rsidRPr="006979CF">
        <w:t xml:space="preserve">embedded in </w:t>
      </w:r>
      <w:r w:rsidR="001F61EB" w:rsidRPr="006979CF">
        <w:t xml:space="preserve">ergodic, or time-independent, probability distributions; and (2) </w:t>
      </w:r>
      <w:r w:rsidR="00EB4DFC" w:rsidRPr="006979CF">
        <w:t xml:space="preserve">such </w:t>
      </w:r>
      <w:r w:rsidR="001F61EB" w:rsidRPr="006979CF">
        <w:lastRenderedPageBreak/>
        <w:t>probability distributions are discoverable from time series realizations.</w:t>
      </w:r>
      <w:r w:rsidR="00EB4DFC" w:rsidRPr="006979CF">
        <w:t xml:space="preserve"> An argument might be made that, given the newness of synthetic CDOs, </w:t>
      </w:r>
      <w:r w:rsidR="008C0657" w:rsidRPr="006979CF">
        <w:t>insufficient time has elapsed to allow</w:t>
      </w:r>
      <w:r w:rsidR="006D365C" w:rsidRPr="006979CF">
        <w:t xml:space="preserve"> for </w:t>
      </w:r>
      <w:r w:rsidR="00EB4DFC" w:rsidRPr="006979CF">
        <w:t xml:space="preserve">(objective) probability distributions </w:t>
      </w:r>
      <w:r w:rsidR="006D365C" w:rsidRPr="006979CF">
        <w:t>to be realized in the time series record.</w:t>
      </w:r>
      <w:r w:rsidR="0055705D" w:rsidRPr="006979CF">
        <w:t xml:space="preserve"> C</w:t>
      </w:r>
      <w:r w:rsidR="006D365C" w:rsidRPr="006979CF">
        <w:t xml:space="preserve">redit default </w:t>
      </w:r>
      <w:r w:rsidR="008C0657" w:rsidRPr="006979CF">
        <w:t xml:space="preserve">would therefore be </w:t>
      </w:r>
      <w:r w:rsidR="006D365C" w:rsidRPr="006979CF">
        <w:t xml:space="preserve">subject to </w:t>
      </w:r>
      <w:r w:rsidR="006D365C" w:rsidRPr="006979CF">
        <w:rPr>
          <w:i/>
          <w:iCs/>
        </w:rPr>
        <w:t>ambiguity</w:t>
      </w:r>
      <w:r w:rsidR="00CC544E" w:rsidRPr="006979CF">
        <w:rPr>
          <w:i/>
          <w:iCs/>
        </w:rPr>
        <w:t xml:space="preserve"> </w:t>
      </w:r>
      <w:r w:rsidR="00CC544E" w:rsidRPr="006979CF">
        <w:rPr>
          <w:iCs/>
        </w:rPr>
        <w:t>or</w:t>
      </w:r>
      <w:r w:rsidR="00CC544E" w:rsidRPr="006979CF">
        <w:rPr>
          <w:i/>
          <w:iCs/>
        </w:rPr>
        <w:t xml:space="preserve"> </w:t>
      </w:r>
      <w:r w:rsidR="00CC544E" w:rsidRPr="006979CF">
        <w:t>“uncertainty about probability created by missing information that is relevant and could be known” (Camerer and Weber 1992, 330)—but not true or “unmeasurable uncertainty” (Knight 1921, 233).</w:t>
      </w:r>
      <w:r w:rsidR="00251C4C" w:rsidRPr="006979CF">
        <w:t xml:space="preserve"> </w:t>
      </w:r>
      <w:r w:rsidR="00537B43" w:rsidRPr="006979CF">
        <w:t xml:space="preserve">The distinction is important as it suggests that </w:t>
      </w:r>
      <w:r w:rsidR="009C6811" w:rsidRPr="006979CF">
        <w:t xml:space="preserve">the </w:t>
      </w:r>
      <w:r w:rsidR="00537B43" w:rsidRPr="006979CF">
        <w:t>CDS is capable of evolving to a non-toxic form with the accumulation of denser data sets</w:t>
      </w:r>
      <w:r w:rsidR="004653CB" w:rsidRPr="006979CF">
        <w:t>.</w:t>
      </w:r>
    </w:p>
    <w:p w:rsidR="00C65231" w:rsidRPr="006979CF" w:rsidRDefault="005F37FE" w:rsidP="006979CF">
      <w:r w:rsidRPr="006979CF">
        <w:t xml:space="preserve">     </w:t>
      </w:r>
      <w:r w:rsidR="008C0657" w:rsidRPr="006979CF">
        <w:t xml:space="preserve">If, on the other hand, CDO credit events </w:t>
      </w:r>
      <w:r w:rsidR="00417273" w:rsidRPr="006979CF">
        <w:t xml:space="preserve">are uncertain, there is </w:t>
      </w:r>
      <w:r w:rsidR="00417273" w:rsidRPr="006979CF">
        <w:rPr>
          <w:i/>
          <w:iCs/>
        </w:rPr>
        <w:t>no</w:t>
      </w:r>
      <w:r w:rsidR="00417273" w:rsidRPr="006979CF">
        <w:t xml:space="preserve"> statistical/actuarial technique available that could be trusted to equate </w:t>
      </w:r>
      <w:r w:rsidR="0027755F" w:rsidRPr="006979CF">
        <w:t xml:space="preserve">the </w:t>
      </w:r>
      <w:r w:rsidR="00417273" w:rsidRPr="006979CF">
        <w:t xml:space="preserve">credit default insurance premiums with the expected value of payouts. </w:t>
      </w:r>
      <w:r w:rsidR="00B117A9" w:rsidRPr="006979CF">
        <w:t xml:space="preserve">That the structure of the economy </w:t>
      </w:r>
      <w:r w:rsidR="009E6EA7" w:rsidRPr="006979CF">
        <w:t xml:space="preserve">is </w:t>
      </w:r>
      <w:r w:rsidR="009E6EA7" w:rsidRPr="006979CF">
        <w:rPr>
          <w:i/>
        </w:rPr>
        <w:t>transmutable</w:t>
      </w:r>
      <w:r w:rsidR="004653CB" w:rsidRPr="006979CF">
        <w:rPr>
          <w:iCs/>
        </w:rPr>
        <w:t>—meaning it</w:t>
      </w:r>
      <w:r w:rsidR="009E6EA7" w:rsidRPr="006979CF">
        <w:t xml:space="preserve"> </w:t>
      </w:r>
      <w:r w:rsidR="00B117A9" w:rsidRPr="006979CF">
        <w:t>undergoes incessant change as the consequence of human agency</w:t>
      </w:r>
      <w:r w:rsidR="004653CB" w:rsidRPr="006979CF">
        <w:t>--</w:t>
      </w:r>
      <w:r w:rsidR="00B117A9" w:rsidRPr="006979CF">
        <w:t>is a fundamental tenet of Post Keynesian thought. Davidson writes that “K</w:t>
      </w:r>
      <w:r w:rsidR="006D365C" w:rsidRPr="006979CF">
        <w:t xml:space="preserve">eynes’ uncertain future involves a </w:t>
      </w:r>
      <w:r w:rsidR="006D365C" w:rsidRPr="006979CF">
        <w:rPr>
          <w:i/>
        </w:rPr>
        <w:t>creative</w:t>
      </w:r>
      <w:r w:rsidR="006D365C" w:rsidRPr="006979CF">
        <w:t xml:space="preserve"> economic reality in the sense that the future can be permanently changed in nature and substance by the actions of individuals, groups</w:t>
      </w:r>
      <w:r w:rsidR="001B21FD" w:rsidRPr="006979CF">
        <w:t xml:space="preserve"> </w:t>
      </w:r>
      <w:r w:rsidR="006D365C" w:rsidRPr="006979CF">
        <w:t>(e.g., unions, cartels</w:t>
      </w:r>
      <w:r w:rsidR="009E6EA7" w:rsidRPr="006979CF">
        <w:t>)</w:t>
      </w:r>
      <w:r w:rsidR="006D365C" w:rsidRPr="006979CF">
        <w:t>, and/or governments</w:t>
      </w:r>
      <w:r w:rsidR="001B21FD" w:rsidRPr="006979CF">
        <w:t>, often in ways not forese</w:t>
      </w:r>
      <w:r w:rsidR="00B117A9" w:rsidRPr="006979CF">
        <w:t>eable by the creators of change”</w:t>
      </w:r>
      <w:r w:rsidR="009E6EA7" w:rsidRPr="006979CF">
        <w:t xml:space="preserve"> </w:t>
      </w:r>
      <w:r w:rsidR="00B117A9" w:rsidRPr="006979CF">
        <w:t>(Davidson 1996, 482, italics added).</w:t>
      </w:r>
      <w:r w:rsidR="00C113FE" w:rsidRPr="006979CF">
        <w:t>The introduction of new tool-combinations, the construction of new production capacity, or the issue of debts—these are examples of structure-altering behaviors or what Shackle called “crucial” decisions—</w:t>
      </w:r>
      <w:r w:rsidR="00870BF1" w:rsidRPr="006979CF">
        <w:t>meaning that  “the person cannot exclude from his mind  the possibility that the very act of performing the experiment may destroy forever the circumstances in which” action was taken (Shackle 1955, 6).</w:t>
      </w:r>
      <w:r w:rsidR="00C113FE" w:rsidRPr="006979CF">
        <w:t xml:space="preserve"> </w:t>
      </w:r>
      <w:r w:rsidR="00A701D5" w:rsidRPr="006979CF">
        <w:t>N</w:t>
      </w:r>
      <w:r w:rsidR="00C113FE" w:rsidRPr="006979CF">
        <w:t xml:space="preserve">onergodicity </w:t>
      </w:r>
      <w:r w:rsidR="00A701D5" w:rsidRPr="006979CF">
        <w:t xml:space="preserve">implies </w:t>
      </w:r>
      <w:r w:rsidR="00C113FE" w:rsidRPr="006979CF">
        <w:t>that variables such as the price of cotton, employment in the healthcare industry, or the co-movement of mortgage default rates</w:t>
      </w:r>
      <w:r w:rsidR="004653CB" w:rsidRPr="006979CF">
        <w:t>,</w:t>
      </w:r>
      <w:r w:rsidR="00A701D5" w:rsidRPr="006979CF">
        <w:t xml:space="preserve"> cannot</w:t>
      </w:r>
      <w:r w:rsidR="004653CB" w:rsidRPr="006979CF">
        <w:t xml:space="preserve"> </w:t>
      </w:r>
      <w:r w:rsidR="00155F55" w:rsidRPr="006979CF">
        <w:t xml:space="preserve">be reliably forecasted from existing information because </w:t>
      </w:r>
      <w:r w:rsidR="00A701D5" w:rsidRPr="006979CF">
        <w:t xml:space="preserve">the scheme of cause and effect that will define their future values </w:t>
      </w:r>
      <w:r w:rsidR="00A701D5" w:rsidRPr="006979CF">
        <w:rPr>
          <w:i/>
        </w:rPr>
        <w:t>is yet to be created</w:t>
      </w:r>
      <w:r w:rsidR="00A701D5" w:rsidRPr="006979CF">
        <w:t xml:space="preserve">. </w:t>
      </w:r>
    </w:p>
    <w:p w:rsidR="006979CF" w:rsidRDefault="00C65231" w:rsidP="006979CF">
      <w:r w:rsidRPr="006979CF">
        <w:t xml:space="preserve">     Extrapolation on the basis of statistical relationships estimated from currently available data</w:t>
      </w:r>
      <w:r w:rsidR="00BB5FAE" w:rsidRPr="006979CF">
        <w:t xml:space="preserve"> is </w:t>
      </w:r>
      <w:r w:rsidR="006F5F2E" w:rsidRPr="006979CF">
        <w:t xml:space="preserve">effective </w:t>
      </w:r>
      <w:r w:rsidR="00BB5FAE" w:rsidRPr="006979CF">
        <w:t>so long as forecasts are projected across a fixed “state of the world.”</w:t>
      </w:r>
      <w:r w:rsidR="00534B87" w:rsidRPr="006979CF">
        <w:t xml:space="preserve"> Natural scientists have a big advantage in prediction because they deal with phenomena </w:t>
      </w:r>
      <w:r w:rsidR="00094227" w:rsidRPr="006979CF">
        <w:t xml:space="preserve">belonging to </w:t>
      </w:r>
      <w:r w:rsidR="0089109B" w:rsidRPr="006979CF">
        <w:t xml:space="preserve">an </w:t>
      </w:r>
      <w:r w:rsidR="00094227" w:rsidRPr="006979CF">
        <w:t xml:space="preserve">undeviating (ergodic) </w:t>
      </w:r>
      <w:r w:rsidR="00534B87" w:rsidRPr="006979CF">
        <w:t>“state of the world</w:t>
      </w:r>
      <w:r w:rsidR="00094227" w:rsidRPr="006979CF">
        <w:t>”</w:t>
      </w:r>
      <w:r w:rsidR="00534B87" w:rsidRPr="006979CF">
        <w:t xml:space="preserve"> </w:t>
      </w:r>
      <w:r w:rsidR="00094227" w:rsidRPr="006979CF">
        <w:t>characterized by structural (or parametric) constancy as the time axis shifts forward.</w:t>
      </w:r>
      <w:r w:rsidR="00243113" w:rsidRPr="006979CF">
        <w:t xml:space="preserve"> Economic structure is </w:t>
      </w:r>
      <w:r w:rsidR="00DB3F23" w:rsidRPr="006979CF">
        <w:t xml:space="preserve">in a perpetual state of </w:t>
      </w:r>
      <w:r w:rsidR="00243113" w:rsidRPr="006979CF">
        <w:t>emergen</w:t>
      </w:r>
      <w:r w:rsidR="00DB3F23" w:rsidRPr="006979CF">
        <w:t>ce</w:t>
      </w:r>
      <w:r w:rsidR="00243113" w:rsidRPr="006979CF">
        <w:t xml:space="preserve"> under the influence of innovation and institutional change.</w:t>
      </w:r>
      <w:r w:rsidR="00094227" w:rsidRPr="006979CF">
        <w:t xml:space="preserve"> </w:t>
      </w:r>
      <w:r w:rsidR="00485B9F" w:rsidRPr="006979CF">
        <w:t xml:space="preserve">The hyperlink, the multimodal freight container, or the ban on resale price maintenance—these are examples of things with the power to recast the </w:t>
      </w:r>
      <w:r w:rsidR="00FD2DCA" w:rsidRPr="006979CF">
        <w:t xml:space="preserve">nexus </w:t>
      </w:r>
      <w:r w:rsidR="00485B9F" w:rsidRPr="006979CF">
        <w:t xml:space="preserve">of interdependency among many economic quantities. </w:t>
      </w:r>
      <w:r w:rsidR="002107E5" w:rsidRPr="006979CF">
        <w:t xml:space="preserve">Attempts to price CDO “risk” by use of actuarial science </w:t>
      </w:r>
      <w:r w:rsidR="00997C15" w:rsidRPr="006979CF">
        <w:t>are (implicitly) grounded in the view that “people’s acts cannot create ‘new states of the world’” (Duquech 2000, 49).</w:t>
      </w:r>
      <w:r w:rsidR="00243113" w:rsidRPr="006979CF">
        <w:t xml:space="preserve"> </w:t>
      </w:r>
      <w:r w:rsidR="00094227" w:rsidRPr="006979CF">
        <w:t>Holt</w:t>
      </w:r>
      <w:r w:rsidR="0089109B" w:rsidRPr="006979CF">
        <w:t>on (2004, 22)</w:t>
      </w:r>
      <w:r w:rsidR="00094227" w:rsidRPr="006979CF">
        <w:t xml:space="preserve"> notes that the Knight-Keynes distinction between risk and uncertainty </w:t>
      </w:r>
      <w:r w:rsidR="00ED652B" w:rsidRPr="006979CF">
        <w:t>“has played essentially n</w:t>
      </w:r>
      <w:r w:rsidR="00094227" w:rsidRPr="006979CF">
        <w:t xml:space="preserve">o role” </w:t>
      </w:r>
      <w:r w:rsidR="00DB3F23" w:rsidRPr="006979CF">
        <w:t xml:space="preserve">in </w:t>
      </w:r>
      <w:r w:rsidR="00094227" w:rsidRPr="006979CF">
        <w:t>modern financial theory</w:t>
      </w:r>
      <w:r w:rsidR="00547E4F" w:rsidRPr="006979CF">
        <w:t xml:space="preserve">, something that would be of little import if financial theory were not so thoroughly implicated in the socially </w:t>
      </w:r>
      <w:r w:rsidR="00495D3C" w:rsidRPr="006979CF">
        <w:t xml:space="preserve">destructive </w:t>
      </w:r>
      <w:r w:rsidR="00547E4F" w:rsidRPr="006979CF">
        <w:t>practices of systematically important financial institutions</w:t>
      </w:r>
      <w:r w:rsidR="00A00D99" w:rsidRPr="006979CF">
        <w:t xml:space="preserve"> (SIFIs).</w:t>
      </w:r>
      <w:r w:rsidR="00547E4F" w:rsidRPr="006979CF">
        <w:t xml:space="preserve"> </w:t>
      </w:r>
    </w:p>
    <w:p w:rsidR="00AD10FC" w:rsidRPr="006979CF" w:rsidRDefault="00EC58A7" w:rsidP="006979CF">
      <w:r w:rsidRPr="006979CF">
        <w:tab/>
      </w:r>
    </w:p>
    <w:p w:rsidR="00AD10FC" w:rsidRPr="00204210" w:rsidRDefault="00485B9F" w:rsidP="009463FD">
      <w:pPr>
        <w:jc w:val="center"/>
        <w:rPr>
          <w:b/>
          <w:sz w:val="22"/>
          <w:szCs w:val="22"/>
        </w:rPr>
      </w:pPr>
      <w:r w:rsidRPr="00204210">
        <w:rPr>
          <w:b/>
          <w:sz w:val="22"/>
          <w:szCs w:val="22"/>
        </w:rPr>
        <w:t xml:space="preserve">The CDS, Leverage, and Financial </w:t>
      </w:r>
      <w:r w:rsidR="009463FD" w:rsidRPr="00204210">
        <w:rPr>
          <w:b/>
          <w:sz w:val="22"/>
          <w:szCs w:val="22"/>
        </w:rPr>
        <w:t>Fragility</w:t>
      </w:r>
      <w:r w:rsidRPr="00204210">
        <w:rPr>
          <w:b/>
          <w:sz w:val="22"/>
          <w:szCs w:val="22"/>
        </w:rPr>
        <w:br/>
      </w:r>
    </w:p>
    <w:p w:rsidR="003A438A" w:rsidRDefault="00485B9F" w:rsidP="00345D9B">
      <w:r w:rsidRPr="00345D9B">
        <w:t xml:space="preserve"> </w:t>
      </w:r>
      <w:r w:rsidR="009463FD" w:rsidRPr="00345D9B">
        <w:t xml:space="preserve"> </w:t>
      </w:r>
      <w:r w:rsidR="00B33EB0" w:rsidRPr="00345D9B">
        <w:t xml:space="preserve"> The sufficiency of cash flows in relation to debt service is a crucial test of balance sheet quality, both at micro and macroeconomic levels. </w:t>
      </w:r>
      <w:r w:rsidR="00C9413D" w:rsidRPr="00345D9B">
        <w:t>Leading up to the financial crisis, a</w:t>
      </w:r>
      <w:r w:rsidR="00850A3A" w:rsidRPr="00345D9B">
        <w:t xml:space="preserve"> vast </w:t>
      </w:r>
    </w:p>
    <w:tbl>
      <w:tblPr>
        <w:tblStyle w:val="TableGrid"/>
        <w:tblW w:w="0" w:type="auto"/>
        <w:jc w:val="center"/>
        <w:tblLook w:val="04A0" w:firstRow="1" w:lastRow="0" w:firstColumn="1" w:lastColumn="0" w:noHBand="0" w:noVBand="1"/>
      </w:tblPr>
      <w:tblGrid>
        <w:gridCol w:w="2580"/>
        <w:gridCol w:w="1039"/>
        <w:gridCol w:w="1054"/>
        <w:gridCol w:w="922"/>
        <w:gridCol w:w="1012"/>
        <w:gridCol w:w="906"/>
        <w:gridCol w:w="969"/>
      </w:tblGrid>
      <w:tr w:rsidR="003A438A" w:rsidRPr="006529B6" w:rsidTr="00AC1040">
        <w:trPr>
          <w:trHeight w:val="722"/>
          <w:jc w:val="center"/>
        </w:trPr>
        <w:tc>
          <w:tcPr>
            <w:tcW w:w="8482" w:type="dxa"/>
            <w:gridSpan w:val="7"/>
            <w:tcBorders>
              <w:top w:val="nil"/>
              <w:left w:val="nil"/>
              <w:bottom w:val="single" w:sz="4" w:space="0" w:color="auto"/>
              <w:right w:val="nil"/>
            </w:tcBorders>
            <w:hideMark/>
          </w:tcPr>
          <w:p w:rsidR="003A438A" w:rsidRPr="004B0BD4" w:rsidRDefault="003A438A" w:rsidP="00AC1040">
            <w:pPr>
              <w:jc w:val="center"/>
              <w:rPr>
                <w:rFonts w:ascii="Times New Roman" w:hAnsi="Times New Roman"/>
              </w:rPr>
            </w:pPr>
            <w:r w:rsidRPr="001250DF">
              <w:rPr>
                <w:rFonts w:ascii="Times New Roman" w:hAnsi="Times New Roman"/>
              </w:rPr>
              <w:lastRenderedPageBreak/>
              <w:t xml:space="preserve"> </w:t>
            </w:r>
            <w:r w:rsidRPr="001250DF">
              <w:rPr>
                <w:rFonts w:ascii="Times New Roman" w:hAnsi="Times New Roman"/>
                <w:bCs/>
              </w:rPr>
              <w:t xml:space="preserve"> Table 1</w:t>
            </w:r>
            <w:r w:rsidRPr="001250DF">
              <w:rPr>
                <w:rFonts w:ascii="Times New Roman" w:hAnsi="Times New Roman"/>
              </w:rPr>
              <w:t>:</w:t>
            </w:r>
            <w:r w:rsidRPr="001250DF">
              <w:rPr>
                <w:rFonts w:ascii="Times New Roman" w:hAnsi="Times New Roman"/>
                <w:bCs/>
              </w:rPr>
              <w:t xml:space="preserve"> Credit Default Swaps Market Structure at the End of June 2011</w:t>
            </w:r>
            <w:r w:rsidRPr="004B0BD4">
              <w:rPr>
                <w:rFonts w:ascii="Times New Roman" w:hAnsi="Times New Roman"/>
              </w:rPr>
              <w:t xml:space="preserve">                                         </w:t>
            </w:r>
            <w:r>
              <w:rPr>
                <w:rFonts w:ascii="Times New Roman" w:hAnsi="Times New Roman"/>
              </w:rPr>
              <w:t>(</w:t>
            </w:r>
            <w:r>
              <w:rPr>
                <w:rFonts w:ascii="Times New Roman" w:hAnsi="Times New Roman" w:hint="eastAsia"/>
              </w:rPr>
              <w:t>b</w:t>
            </w:r>
            <w:r w:rsidRPr="004B0BD4">
              <w:rPr>
                <w:rFonts w:ascii="Times New Roman" w:hAnsi="Times New Roman"/>
              </w:rPr>
              <w:t>illions of US dollars</w:t>
            </w:r>
            <w:r>
              <w:rPr>
                <w:rFonts w:ascii="Times New Roman" w:hAnsi="Times New Roman"/>
              </w:rPr>
              <w:t>)</w:t>
            </w:r>
          </w:p>
        </w:tc>
      </w:tr>
      <w:tr w:rsidR="003A438A" w:rsidRPr="00870BF1" w:rsidTr="00AC1040">
        <w:trPr>
          <w:trHeight w:val="441"/>
          <w:jc w:val="center"/>
        </w:trPr>
        <w:tc>
          <w:tcPr>
            <w:tcW w:w="2580" w:type="dxa"/>
            <w:vMerge w:val="restart"/>
            <w:tcBorders>
              <w:top w:val="single" w:sz="4" w:space="0" w:color="auto"/>
            </w:tcBorders>
            <w:hideMark/>
          </w:tcPr>
          <w:p w:rsidR="003A438A" w:rsidRPr="00870BF1" w:rsidRDefault="003A438A" w:rsidP="00AC1040">
            <w:pPr>
              <w:jc w:val="center"/>
              <w:rPr>
                <w:rFonts w:ascii="Times New Roman" w:hAnsi="Times New Roman"/>
                <w:b/>
                <w:sz w:val="20"/>
                <w:szCs w:val="20"/>
              </w:rPr>
            </w:pPr>
            <w:r w:rsidRPr="00870BF1">
              <w:rPr>
                <w:rFonts w:ascii="Times New Roman" w:hAnsi="Times New Roman"/>
                <w:b/>
                <w:sz w:val="20"/>
                <w:szCs w:val="20"/>
              </w:rPr>
              <w:br/>
              <w:t>Market Participants</w:t>
            </w:r>
          </w:p>
        </w:tc>
        <w:tc>
          <w:tcPr>
            <w:tcW w:w="2093" w:type="dxa"/>
            <w:gridSpan w:val="2"/>
            <w:tcBorders>
              <w:top w:val="single" w:sz="4" w:space="0" w:color="auto"/>
            </w:tcBorders>
            <w:hideMark/>
          </w:tcPr>
          <w:p w:rsidR="003A438A" w:rsidRPr="00870BF1" w:rsidRDefault="003A438A" w:rsidP="00AC1040">
            <w:pPr>
              <w:jc w:val="center"/>
              <w:rPr>
                <w:rFonts w:ascii="Times New Roman" w:hAnsi="Times New Roman"/>
                <w:b/>
                <w:bCs/>
                <w:sz w:val="20"/>
                <w:szCs w:val="20"/>
              </w:rPr>
            </w:pPr>
            <w:r w:rsidRPr="00870BF1">
              <w:rPr>
                <w:rFonts w:ascii="Times New Roman" w:hAnsi="Times New Roman"/>
                <w:b/>
                <w:bCs/>
                <w:sz w:val="20"/>
                <w:szCs w:val="20"/>
              </w:rPr>
              <w:t xml:space="preserve">Notional amount outstanding </w:t>
            </w:r>
            <w:r w:rsidRPr="00870BF1">
              <w:rPr>
                <w:rFonts w:ascii="Times New Roman" w:hAnsi="Times New Roman"/>
                <w:b/>
                <w:bCs/>
                <w:sz w:val="20"/>
                <w:szCs w:val="20"/>
                <w:vertAlign w:val="superscript"/>
              </w:rPr>
              <w:t>a</w:t>
            </w:r>
            <w:r w:rsidRPr="00870BF1">
              <w:rPr>
                <w:rFonts w:ascii="Times New Roman" w:hAnsi="Times New Roman"/>
                <w:b/>
                <w:bCs/>
                <w:sz w:val="20"/>
                <w:szCs w:val="20"/>
              </w:rPr>
              <w:t xml:space="preserve"> </w:t>
            </w:r>
          </w:p>
        </w:tc>
        <w:tc>
          <w:tcPr>
            <w:tcW w:w="1934" w:type="dxa"/>
            <w:gridSpan w:val="2"/>
            <w:tcBorders>
              <w:top w:val="single" w:sz="4" w:space="0" w:color="auto"/>
            </w:tcBorders>
            <w:hideMark/>
          </w:tcPr>
          <w:p w:rsidR="003A438A" w:rsidRPr="00870BF1" w:rsidRDefault="003A438A" w:rsidP="00AC1040">
            <w:pPr>
              <w:jc w:val="center"/>
              <w:rPr>
                <w:rFonts w:ascii="Times New Roman" w:hAnsi="Times New Roman"/>
                <w:b/>
                <w:bCs/>
                <w:sz w:val="20"/>
                <w:szCs w:val="20"/>
              </w:rPr>
            </w:pPr>
            <w:r w:rsidRPr="00870BF1">
              <w:rPr>
                <w:rFonts w:ascii="Times New Roman" w:hAnsi="Times New Roman"/>
                <w:b/>
                <w:bCs/>
                <w:sz w:val="20"/>
                <w:szCs w:val="20"/>
              </w:rPr>
              <w:t xml:space="preserve">Gross market </w:t>
            </w:r>
            <w:r w:rsidRPr="00870BF1">
              <w:rPr>
                <w:rFonts w:ascii="Times New Roman" w:hAnsi="Times New Roman"/>
                <w:b/>
                <w:bCs/>
                <w:sz w:val="20"/>
                <w:szCs w:val="20"/>
              </w:rPr>
              <w:br/>
              <w:t xml:space="preserve">value </w:t>
            </w:r>
            <w:r w:rsidRPr="00870BF1">
              <w:rPr>
                <w:rFonts w:ascii="Times New Roman" w:hAnsi="Times New Roman"/>
                <w:b/>
                <w:bCs/>
                <w:sz w:val="20"/>
                <w:szCs w:val="20"/>
                <w:vertAlign w:val="superscript"/>
              </w:rPr>
              <w:t>b</w:t>
            </w:r>
            <w:r w:rsidRPr="00870BF1">
              <w:rPr>
                <w:rFonts w:ascii="Times New Roman" w:hAnsi="Times New Roman"/>
                <w:b/>
                <w:bCs/>
                <w:sz w:val="20"/>
                <w:szCs w:val="20"/>
              </w:rPr>
              <w:t xml:space="preserve">  </w:t>
            </w:r>
          </w:p>
        </w:tc>
        <w:tc>
          <w:tcPr>
            <w:tcW w:w="1875" w:type="dxa"/>
            <w:gridSpan w:val="2"/>
            <w:tcBorders>
              <w:top w:val="single" w:sz="4" w:space="0" w:color="auto"/>
            </w:tcBorders>
            <w:hideMark/>
          </w:tcPr>
          <w:p w:rsidR="003A438A" w:rsidRPr="00870BF1" w:rsidRDefault="003A438A" w:rsidP="00AC1040">
            <w:pPr>
              <w:jc w:val="center"/>
              <w:rPr>
                <w:rFonts w:ascii="Times New Roman" w:hAnsi="Times New Roman"/>
                <w:b/>
                <w:bCs/>
                <w:sz w:val="20"/>
                <w:szCs w:val="20"/>
              </w:rPr>
            </w:pPr>
            <w:r w:rsidRPr="00870BF1">
              <w:rPr>
                <w:rFonts w:ascii="Times New Roman" w:hAnsi="Times New Roman"/>
                <w:b/>
                <w:bCs/>
                <w:sz w:val="20"/>
                <w:szCs w:val="20"/>
              </w:rPr>
              <w:t xml:space="preserve">Net market </w:t>
            </w:r>
            <w:r w:rsidRPr="00870BF1">
              <w:rPr>
                <w:rFonts w:ascii="Times New Roman" w:hAnsi="Times New Roman"/>
                <w:b/>
                <w:bCs/>
                <w:sz w:val="20"/>
                <w:szCs w:val="20"/>
              </w:rPr>
              <w:br/>
              <w:t xml:space="preserve">value </w:t>
            </w:r>
            <w:r w:rsidRPr="00870BF1">
              <w:rPr>
                <w:rFonts w:ascii="Times New Roman" w:hAnsi="Times New Roman"/>
                <w:b/>
                <w:bCs/>
                <w:sz w:val="20"/>
                <w:szCs w:val="20"/>
                <w:vertAlign w:val="superscript"/>
              </w:rPr>
              <w:t xml:space="preserve">c </w:t>
            </w:r>
            <w:r w:rsidRPr="00870BF1">
              <w:rPr>
                <w:rFonts w:ascii="Times New Roman" w:hAnsi="Times New Roman"/>
                <w:b/>
                <w:bCs/>
                <w:sz w:val="20"/>
                <w:szCs w:val="20"/>
              </w:rPr>
              <w:t xml:space="preserve">  </w:t>
            </w:r>
          </w:p>
        </w:tc>
      </w:tr>
      <w:tr w:rsidR="003A438A" w:rsidRPr="00870BF1" w:rsidTr="00AC1040">
        <w:trPr>
          <w:trHeight w:val="311"/>
          <w:jc w:val="center"/>
        </w:trPr>
        <w:tc>
          <w:tcPr>
            <w:tcW w:w="2580" w:type="dxa"/>
            <w:vMerge/>
            <w:hideMark/>
          </w:tcPr>
          <w:p w:rsidR="003A438A" w:rsidRPr="00870BF1" w:rsidRDefault="003A438A" w:rsidP="00AC1040">
            <w:pPr>
              <w:jc w:val="center"/>
              <w:rPr>
                <w:rFonts w:ascii="Times New Roman" w:hAnsi="Times New Roman"/>
                <w:sz w:val="20"/>
                <w:szCs w:val="20"/>
              </w:rPr>
            </w:pPr>
          </w:p>
        </w:tc>
        <w:tc>
          <w:tcPr>
            <w:tcW w:w="1039"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Amount</w:t>
            </w:r>
          </w:p>
        </w:tc>
        <w:tc>
          <w:tcPr>
            <w:tcW w:w="1054"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Percent</w:t>
            </w:r>
          </w:p>
        </w:tc>
        <w:tc>
          <w:tcPr>
            <w:tcW w:w="922"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Amount</w:t>
            </w:r>
          </w:p>
        </w:tc>
        <w:tc>
          <w:tcPr>
            <w:tcW w:w="1012"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Percent</w:t>
            </w:r>
          </w:p>
        </w:tc>
        <w:tc>
          <w:tcPr>
            <w:tcW w:w="906"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Amount</w:t>
            </w:r>
          </w:p>
        </w:tc>
        <w:tc>
          <w:tcPr>
            <w:tcW w:w="969"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Percent</w:t>
            </w:r>
          </w:p>
        </w:tc>
      </w:tr>
      <w:tr w:rsidR="003A438A" w:rsidRPr="00870BF1" w:rsidTr="00AC1040">
        <w:trPr>
          <w:trHeight w:val="401"/>
          <w:jc w:val="center"/>
        </w:trPr>
        <w:tc>
          <w:tcPr>
            <w:tcW w:w="2580"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Reporting Dealers</w:t>
            </w:r>
          </w:p>
        </w:tc>
        <w:tc>
          <w:tcPr>
            <w:tcW w:w="1039"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$17,348</w:t>
            </w:r>
          </w:p>
        </w:tc>
        <w:tc>
          <w:tcPr>
            <w:tcW w:w="1054"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53.53%</w:t>
            </w:r>
          </w:p>
        </w:tc>
        <w:tc>
          <w:tcPr>
            <w:tcW w:w="922"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$804</w:t>
            </w:r>
          </w:p>
        </w:tc>
        <w:tc>
          <w:tcPr>
            <w:tcW w:w="1012"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59.73%</w:t>
            </w:r>
          </w:p>
        </w:tc>
        <w:tc>
          <w:tcPr>
            <w:tcW w:w="906"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$178</w:t>
            </w:r>
          </w:p>
        </w:tc>
        <w:tc>
          <w:tcPr>
            <w:tcW w:w="969"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47.59%</w:t>
            </w:r>
          </w:p>
        </w:tc>
      </w:tr>
      <w:tr w:rsidR="003A438A" w:rsidRPr="00870BF1" w:rsidTr="00AC1040">
        <w:trPr>
          <w:trHeight w:val="401"/>
          <w:jc w:val="center"/>
        </w:trPr>
        <w:tc>
          <w:tcPr>
            <w:tcW w:w="2580"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Central Parties</w:t>
            </w:r>
          </w:p>
        </w:tc>
        <w:tc>
          <w:tcPr>
            <w:tcW w:w="1039"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5,543</w:t>
            </w:r>
          </w:p>
        </w:tc>
        <w:tc>
          <w:tcPr>
            <w:tcW w:w="1054"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17.10%</w:t>
            </w:r>
          </w:p>
        </w:tc>
        <w:tc>
          <w:tcPr>
            <w:tcW w:w="922"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93</w:t>
            </w:r>
          </w:p>
        </w:tc>
        <w:tc>
          <w:tcPr>
            <w:tcW w:w="1012"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6.91%</w:t>
            </w:r>
          </w:p>
        </w:tc>
        <w:tc>
          <w:tcPr>
            <w:tcW w:w="906"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18</w:t>
            </w:r>
          </w:p>
        </w:tc>
        <w:tc>
          <w:tcPr>
            <w:tcW w:w="969"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4.81%</w:t>
            </w:r>
          </w:p>
        </w:tc>
      </w:tr>
      <w:tr w:rsidR="003A438A" w:rsidRPr="00870BF1" w:rsidTr="00AC1040">
        <w:trPr>
          <w:trHeight w:val="401"/>
          <w:jc w:val="center"/>
        </w:trPr>
        <w:tc>
          <w:tcPr>
            <w:tcW w:w="2580"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Banks and Security Firms</w:t>
            </w:r>
          </w:p>
        </w:tc>
        <w:tc>
          <w:tcPr>
            <w:tcW w:w="1039"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6,108</w:t>
            </w:r>
          </w:p>
        </w:tc>
        <w:tc>
          <w:tcPr>
            <w:tcW w:w="1054"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18.85%</w:t>
            </w:r>
          </w:p>
        </w:tc>
        <w:tc>
          <w:tcPr>
            <w:tcW w:w="922"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223</w:t>
            </w:r>
          </w:p>
        </w:tc>
        <w:tc>
          <w:tcPr>
            <w:tcW w:w="1012"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16.57%</w:t>
            </w:r>
          </w:p>
        </w:tc>
        <w:tc>
          <w:tcPr>
            <w:tcW w:w="906"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50</w:t>
            </w:r>
          </w:p>
        </w:tc>
        <w:tc>
          <w:tcPr>
            <w:tcW w:w="969"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13.37%</w:t>
            </w:r>
          </w:p>
        </w:tc>
      </w:tr>
      <w:tr w:rsidR="003A438A" w:rsidRPr="00870BF1" w:rsidTr="00AC1040">
        <w:trPr>
          <w:trHeight w:val="401"/>
          <w:jc w:val="center"/>
        </w:trPr>
        <w:tc>
          <w:tcPr>
            <w:tcW w:w="2580"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Insurance Firms</w:t>
            </w:r>
          </w:p>
        </w:tc>
        <w:tc>
          <w:tcPr>
            <w:tcW w:w="1039"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358</w:t>
            </w:r>
          </w:p>
        </w:tc>
        <w:tc>
          <w:tcPr>
            <w:tcW w:w="1054"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1.10%</w:t>
            </w:r>
          </w:p>
        </w:tc>
        <w:tc>
          <w:tcPr>
            <w:tcW w:w="922"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36</w:t>
            </w:r>
          </w:p>
        </w:tc>
        <w:tc>
          <w:tcPr>
            <w:tcW w:w="1012"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2.67%</w:t>
            </w:r>
          </w:p>
        </w:tc>
        <w:tc>
          <w:tcPr>
            <w:tcW w:w="906"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20</w:t>
            </w:r>
          </w:p>
        </w:tc>
        <w:tc>
          <w:tcPr>
            <w:tcW w:w="969"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5.35%</w:t>
            </w:r>
          </w:p>
        </w:tc>
      </w:tr>
      <w:tr w:rsidR="003A438A" w:rsidRPr="00870BF1" w:rsidTr="00AC1040">
        <w:trPr>
          <w:trHeight w:val="401"/>
          <w:jc w:val="center"/>
        </w:trPr>
        <w:tc>
          <w:tcPr>
            <w:tcW w:w="2580"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SPVS, SPCs and SPEs</w:t>
            </w:r>
          </w:p>
        </w:tc>
        <w:tc>
          <w:tcPr>
            <w:tcW w:w="1039"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528</w:t>
            </w:r>
          </w:p>
        </w:tc>
        <w:tc>
          <w:tcPr>
            <w:tcW w:w="1054"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1.63%</w:t>
            </w:r>
          </w:p>
        </w:tc>
        <w:tc>
          <w:tcPr>
            <w:tcW w:w="922"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66</w:t>
            </w:r>
          </w:p>
        </w:tc>
        <w:tc>
          <w:tcPr>
            <w:tcW w:w="1012"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4.90%</w:t>
            </w:r>
          </w:p>
        </w:tc>
        <w:tc>
          <w:tcPr>
            <w:tcW w:w="906"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39</w:t>
            </w:r>
          </w:p>
        </w:tc>
        <w:tc>
          <w:tcPr>
            <w:tcW w:w="969"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10.43%</w:t>
            </w:r>
          </w:p>
        </w:tc>
      </w:tr>
      <w:tr w:rsidR="003A438A" w:rsidRPr="00870BF1" w:rsidTr="00AC1040">
        <w:trPr>
          <w:trHeight w:val="401"/>
          <w:jc w:val="center"/>
        </w:trPr>
        <w:tc>
          <w:tcPr>
            <w:tcW w:w="2580"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Hedge Funds</w:t>
            </w:r>
          </w:p>
        </w:tc>
        <w:tc>
          <w:tcPr>
            <w:tcW w:w="1039"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963</w:t>
            </w:r>
          </w:p>
        </w:tc>
        <w:tc>
          <w:tcPr>
            <w:tcW w:w="1054"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2.97%</w:t>
            </w:r>
          </w:p>
        </w:tc>
        <w:tc>
          <w:tcPr>
            <w:tcW w:w="922"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47</w:t>
            </w:r>
          </w:p>
        </w:tc>
        <w:tc>
          <w:tcPr>
            <w:tcW w:w="1012"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3.49%</w:t>
            </w:r>
          </w:p>
        </w:tc>
        <w:tc>
          <w:tcPr>
            <w:tcW w:w="906"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20</w:t>
            </w:r>
          </w:p>
        </w:tc>
        <w:tc>
          <w:tcPr>
            <w:tcW w:w="969"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5.35%</w:t>
            </w:r>
          </w:p>
        </w:tc>
      </w:tr>
      <w:tr w:rsidR="003A438A" w:rsidRPr="00870BF1" w:rsidTr="00AC1040">
        <w:trPr>
          <w:trHeight w:val="401"/>
          <w:jc w:val="center"/>
        </w:trPr>
        <w:tc>
          <w:tcPr>
            <w:tcW w:w="2580"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Other Financial Customers</w:t>
            </w:r>
          </w:p>
        </w:tc>
        <w:tc>
          <w:tcPr>
            <w:tcW w:w="1039"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1,323</w:t>
            </w:r>
          </w:p>
        </w:tc>
        <w:tc>
          <w:tcPr>
            <w:tcW w:w="1054"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4.08%</w:t>
            </w:r>
          </w:p>
        </w:tc>
        <w:tc>
          <w:tcPr>
            <w:tcW w:w="922"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61</w:t>
            </w:r>
          </w:p>
        </w:tc>
        <w:tc>
          <w:tcPr>
            <w:tcW w:w="1012"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4.53%</w:t>
            </w:r>
          </w:p>
        </w:tc>
        <w:tc>
          <w:tcPr>
            <w:tcW w:w="906"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36</w:t>
            </w:r>
          </w:p>
        </w:tc>
        <w:tc>
          <w:tcPr>
            <w:tcW w:w="969"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9.63%</w:t>
            </w:r>
          </w:p>
        </w:tc>
      </w:tr>
      <w:tr w:rsidR="003A438A" w:rsidRPr="00870BF1" w:rsidTr="00AC1040">
        <w:trPr>
          <w:trHeight w:val="401"/>
          <w:jc w:val="center"/>
        </w:trPr>
        <w:tc>
          <w:tcPr>
            <w:tcW w:w="2580"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Non-financial Customers</w:t>
            </w:r>
          </w:p>
        </w:tc>
        <w:tc>
          <w:tcPr>
            <w:tcW w:w="1039"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238</w:t>
            </w:r>
          </w:p>
        </w:tc>
        <w:tc>
          <w:tcPr>
            <w:tcW w:w="1054"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0.73%</w:t>
            </w:r>
          </w:p>
        </w:tc>
        <w:tc>
          <w:tcPr>
            <w:tcW w:w="922"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16</w:t>
            </w:r>
          </w:p>
        </w:tc>
        <w:tc>
          <w:tcPr>
            <w:tcW w:w="1012"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1.19%</w:t>
            </w:r>
          </w:p>
        </w:tc>
        <w:tc>
          <w:tcPr>
            <w:tcW w:w="906"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13</w:t>
            </w:r>
          </w:p>
        </w:tc>
        <w:tc>
          <w:tcPr>
            <w:tcW w:w="969"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3.48%</w:t>
            </w:r>
          </w:p>
        </w:tc>
      </w:tr>
      <w:tr w:rsidR="003A438A" w:rsidRPr="00870BF1" w:rsidTr="00AC1040">
        <w:trPr>
          <w:trHeight w:val="401"/>
          <w:jc w:val="center"/>
        </w:trPr>
        <w:tc>
          <w:tcPr>
            <w:tcW w:w="2580"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Total</w:t>
            </w:r>
          </w:p>
        </w:tc>
        <w:tc>
          <w:tcPr>
            <w:tcW w:w="1039"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$32,409</w:t>
            </w:r>
          </w:p>
        </w:tc>
        <w:tc>
          <w:tcPr>
            <w:tcW w:w="1054"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100.00%</w:t>
            </w:r>
          </w:p>
        </w:tc>
        <w:tc>
          <w:tcPr>
            <w:tcW w:w="922"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$1,346</w:t>
            </w:r>
          </w:p>
        </w:tc>
        <w:tc>
          <w:tcPr>
            <w:tcW w:w="1012"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100.00%</w:t>
            </w:r>
          </w:p>
        </w:tc>
        <w:tc>
          <w:tcPr>
            <w:tcW w:w="906"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$374</w:t>
            </w:r>
          </w:p>
        </w:tc>
        <w:tc>
          <w:tcPr>
            <w:tcW w:w="969" w:type="dxa"/>
            <w:hideMark/>
          </w:tcPr>
          <w:p w:rsidR="003A438A" w:rsidRPr="00870BF1" w:rsidRDefault="003A438A" w:rsidP="00AC1040">
            <w:pPr>
              <w:jc w:val="center"/>
              <w:rPr>
                <w:rFonts w:ascii="Times New Roman" w:hAnsi="Times New Roman"/>
                <w:sz w:val="20"/>
                <w:szCs w:val="20"/>
              </w:rPr>
            </w:pPr>
            <w:r w:rsidRPr="00870BF1">
              <w:rPr>
                <w:rFonts w:ascii="Times New Roman" w:hAnsi="Times New Roman"/>
                <w:sz w:val="20"/>
                <w:szCs w:val="20"/>
              </w:rPr>
              <w:t>100.00%</w:t>
            </w:r>
          </w:p>
        </w:tc>
      </w:tr>
    </w:tbl>
    <w:p w:rsidR="003A438A" w:rsidRPr="00870BF1" w:rsidRDefault="003A438A" w:rsidP="003A438A">
      <w:pPr>
        <w:ind w:left="835"/>
        <w:rPr>
          <w:color w:val="000000"/>
          <w:sz w:val="16"/>
          <w:szCs w:val="16"/>
        </w:rPr>
      </w:pPr>
      <w:r w:rsidRPr="00870BF1">
        <w:rPr>
          <w:sz w:val="20"/>
          <w:szCs w:val="20"/>
          <w:vertAlign w:val="superscript"/>
        </w:rPr>
        <w:t xml:space="preserve">a </w:t>
      </w:r>
      <w:r w:rsidRPr="00870BF1">
        <w:rPr>
          <w:color w:val="000000"/>
          <w:sz w:val="16"/>
          <w:szCs w:val="16"/>
        </w:rPr>
        <w:t>Gross nominal or notional value of all deals concluded and not yet settled on the reporting date. Transactions</w:t>
      </w:r>
      <w:r w:rsidRPr="00870BF1">
        <w:rPr>
          <w:color w:val="000000"/>
          <w:sz w:val="20"/>
          <w:szCs w:val="20"/>
        </w:rPr>
        <w:t xml:space="preserve"> </w:t>
      </w:r>
      <w:r w:rsidRPr="00870BF1">
        <w:rPr>
          <w:color w:val="000000"/>
          <w:sz w:val="16"/>
          <w:szCs w:val="16"/>
        </w:rPr>
        <w:t>between reporting dealers are counted only once, others are not netted.</w:t>
      </w:r>
      <w:r w:rsidRPr="00870BF1">
        <w:rPr>
          <w:color w:val="FF0000"/>
          <w:sz w:val="16"/>
          <w:szCs w:val="16"/>
        </w:rPr>
        <w:br/>
      </w:r>
      <w:r w:rsidRPr="00870BF1">
        <w:rPr>
          <w:sz w:val="16"/>
          <w:szCs w:val="16"/>
          <w:vertAlign w:val="superscript"/>
        </w:rPr>
        <w:t>b</w:t>
      </w:r>
      <w:r w:rsidRPr="00870BF1">
        <w:rPr>
          <w:color w:val="FF0000"/>
          <w:sz w:val="16"/>
          <w:szCs w:val="16"/>
        </w:rPr>
        <w:t xml:space="preserve"> </w:t>
      </w:r>
      <w:r w:rsidRPr="00870BF1">
        <w:rPr>
          <w:color w:val="000000"/>
          <w:sz w:val="16"/>
          <w:szCs w:val="16"/>
        </w:rPr>
        <w:t>Sums together the absolute values of all open contracts with either positive or negative replacement values evaluated at market prices prevailing on the reporting date. Contracts with positive and negative replacement values with the same counterparty are not netted.</w:t>
      </w:r>
    </w:p>
    <w:p w:rsidR="003A438A" w:rsidRPr="00870BF1" w:rsidRDefault="003A438A" w:rsidP="003A438A">
      <w:pPr>
        <w:ind w:left="835"/>
        <w:rPr>
          <w:sz w:val="16"/>
          <w:szCs w:val="16"/>
        </w:rPr>
      </w:pPr>
      <w:r w:rsidRPr="00870BF1">
        <w:rPr>
          <w:color w:val="000000"/>
          <w:sz w:val="16"/>
          <w:szCs w:val="16"/>
          <w:vertAlign w:val="superscript"/>
        </w:rPr>
        <w:t xml:space="preserve">c </w:t>
      </w:r>
      <w:r w:rsidRPr="00870BF1">
        <w:rPr>
          <w:color w:val="000000"/>
          <w:sz w:val="16"/>
          <w:szCs w:val="16"/>
        </w:rPr>
        <w:t>Market values after netting positive and negative replacement values with the same counterparty.</w:t>
      </w:r>
      <w:r w:rsidRPr="00870BF1">
        <w:rPr>
          <w:sz w:val="16"/>
          <w:szCs w:val="16"/>
        </w:rPr>
        <w:br/>
      </w:r>
    </w:p>
    <w:p w:rsidR="003A438A" w:rsidRPr="00870BF1" w:rsidRDefault="003A438A" w:rsidP="003A438A">
      <w:pPr>
        <w:jc w:val="center"/>
        <w:rPr>
          <w:b/>
          <w:bCs/>
          <w:sz w:val="22"/>
          <w:szCs w:val="22"/>
        </w:rPr>
      </w:pPr>
      <w:r w:rsidRPr="00870BF1">
        <w:rPr>
          <w:sz w:val="22"/>
          <w:szCs w:val="22"/>
        </w:rPr>
        <w:t>Source: Bank for International Settlements</w:t>
      </w:r>
    </w:p>
    <w:p w:rsidR="003A438A" w:rsidRDefault="003A438A" w:rsidP="00345D9B"/>
    <w:p w:rsidR="0051550D" w:rsidRPr="00345D9B" w:rsidRDefault="00850A3A" w:rsidP="00345D9B">
      <w:r w:rsidRPr="00345D9B">
        <w:t xml:space="preserve">number of U.S. household </w:t>
      </w:r>
      <w:r w:rsidR="00C9413D" w:rsidRPr="00345D9B">
        <w:t xml:space="preserve">used borrowing as an expedient to convert an increase in </w:t>
      </w:r>
      <w:r w:rsidR="008504D8" w:rsidRPr="00345D9B">
        <w:t xml:space="preserve">market </w:t>
      </w:r>
      <w:r w:rsidR="00C9413D" w:rsidRPr="00345D9B">
        <w:t xml:space="preserve">the value of their assets (mostly home equity and tax-deferred pension accounts) to liquid spending power. While this practice </w:t>
      </w:r>
      <w:r w:rsidR="008504D8" w:rsidRPr="00345D9B">
        <w:t>gave a powerful stimulus to aggregate consumption</w:t>
      </w:r>
      <w:r w:rsidR="00C9413D" w:rsidRPr="00345D9B">
        <w:t xml:space="preserve">, it </w:t>
      </w:r>
      <w:r w:rsidR="00074810" w:rsidRPr="00345D9B">
        <w:t xml:space="preserve">could not be sustained as proportion of current income claimed by debt service passed beyond tolerable levels. </w:t>
      </w:r>
      <w:r w:rsidR="00204210" w:rsidRPr="00345D9B">
        <w:t>Judged by the extent h</w:t>
      </w:r>
      <w:r w:rsidR="00074810" w:rsidRPr="00345D9B">
        <w:t xml:space="preserve">ousehold debt exposure entering it, </w:t>
      </w:r>
      <w:r w:rsidR="00204210" w:rsidRPr="00345D9B">
        <w:t>the recession of 2007-09 was</w:t>
      </w:r>
      <w:r w:rsidR="00074810" w:rsidRPr="00345D9B">
        <w:t xml:space="preserve"> historically unique.</w:t>
      </w:r>
      <w:r w:rsidR="0051550D" w:rsidRPr="00345D9B">
        <w:t xml:space="preserve"> A strong recovery has not materialized partly for the reason that a significant slice of household income continues to be </w:t>
      </w:r>
      <w:r w:rsidR="001657EA" w:rsidRPr="00345D9B">
        <w:t xml:space="preserve">absorbed by </w:t>
      </w:r>
      <w:r w:rsidR="0051550D" w:rsidRPr="00345D9B">
        <w:t xml:space="preserve">debt retirement (manifest statistically by an increase in the saving rate). </w:t>
      </w:r>
    </w:p>
    <w:p w:rsidR="00343287" w:rsidRPr="00345D9B" w:rsidRDefault="0051550D" w:rsidP="00345D9B">
      <w:r w:rsidRPr="00345D9B">
        <w:t xml:space="preserve">     </w:t>
      </w:r>
      <w:r w:rsidR="00AD10FC" w:rsidRPr="00345D9B">
        <w:t>The astounding growth of profits and compensation in the financial sector are the direct result of the emergence of the  “originate and distribute model” of banking and more specifically of the exponential growth in the volume of securitizations collateralized by mortgages, credit card and auto receivables, home equity</w:t>
      </w:r>
      <w:r w:rsidR="009463FD" w:rsidRPr="00345D9B">
        <w:t>,</w:t>
      </w:r>
      <w:r w:rsidR="00AD10FC" w:rsidRPr="00345D9B">
        <w:t xml:space="preserve"> and student loans.</w:t>
      </w:r>
      <w:r w:rsidR="00FD001A" w:rsidRPr="00345D9B">
        <w:t xml:space="preserve"> The evidence shows that the securitization of household debt also had the effect of expanding credit availability for consumers at </w:t>
      </w:r>
      <w:r w:rsidR="00FD001A" w:rsidRPr="00345D9B">
        <w:rPr>
          <w:i/>
          <w:iCs/>
        </w:rPr>
        <w:t xml:space="preserve">all </w:t>
      </w:r>
      <w:r w:rsidR="00FD001A" w:rsidRPr="00345D9B">
        <w:t>levels of income and creditworthiness.</w:t>
      </w:r>
      <w:r w:rsidR="00F85E39" w:rsidRPr="00345D9B">
        <w:t xml:space="preserve"> The average quality of household debt </w:t>
      </w:r>
      <w:r w:rsidR="00F85E39" w:rsidRPr="00345D9B">
        <w:rPr>
          <w:i/>
          <w:iCs/>
        </w:rPr>
        <w:t>necessarily</w:t>
      </w:r>
      <w:r w:rsidR="00F85E39" w:rsidRPr="00345D9B">
        <w:t xml:space="preserve"> diminishes as the ratio of debt liabilities to household income rises. This principle would not apply if new debts were distributed fully to the balance sheets of high income households. However, a</w:t>
      </w:r>
      <w:r w:rsidR="009C6811" w:rsidRPr="00345D9B">
        <w:t xml:space="preserve"> sharp rise in </w:t>
      </w:r>
    </w:p>
    <w:p w:rsidR="0066532E" w:rsidRPr="00345D9B" w:rsidRDefault="009C6811" w:rsidP="00345D9B">
      <w:r w:rsidRPr="00345D9B">
        <w:t xml:space="preserve">average debt to income ratios of middle and lower income households </w:t>
      </w:r>
      <w:r w:rsidR="002E66DB" w:rsidRPr="00345D9B">
        <w:t xml:space="preserve">is a salient aspect of securitization era. </w:t>
      </w:r>
      <w:r w:rsidR="006266A5" w:rsidRPr="00345D9B">
        <w:t xml:space="preserve">The credit flowed because underwriters were able find markets for securities backed by consumer debt. The CDS figures importantly here, as it would have been impossible to place such massive quantities of CDOs if buyers were not able hedge </w:t>
      </w:r>
      <w:r w:rsidR="006266A5" w:rsidRPr="00345D9B">
        <w:lastRenderedPageBreak/>
        <w:t>on advantageous terms.</w:t>
      </w:r>
      <w:r w:rsidR="00647A0A" w:rsidRPr="00345D9B">
        <w:t xml:space="preserve"> It is </w:t>
      </w:r>
      <w:r w:rsidR="00345D9B" w:rsidRPr="00345D9B">
        <w:t>safe to say that originate and distribute as a model for consumer and mortgage finance is, at least on its present scale, made viable by cheap credit default insurance. This fact is well understood by financial industry leaders, who are presently mounting an aggressive lobbying effort to head off any regulatory changes that might cause a permanent increase in CDS spreads.</w:t>
      </w:r>
      <w:r w:rsidR="00345D9B">
        <w:br/>
      </w:r>
      <w:r w:rsidR="00345D9B" w:rsidRPr="00345D9B">
        <w:t xml:space="preserve">     The CDS is also a key factor in explaining dangerously high leverage ratios in the shadow banking system. In contrast to corporate bonds or equities, CDOs offer sophisticated financial entities virtually nothing in the way of capital gains income. A deep and continuous secondary market for these derivatives never developed. It requires no great skill to produce above-average returns for investors using high leverage. The problem with leverage is that a relatively small (percentage) loss can cause catastrophic failure as capital reserves are quickly depleted and margin calls flood in. Hedge fund strategies entailed using extremely high debt to capital ratios (leverage) to turn big profits on the (narrow) spread between the yields of CDOs and interest paid</w:t>
      </w:r>
      <w:r w:rsidR="003A438A">
        <w:t xml:space="preserve"> </w:t>
      </w:r>
      <w:r w:rsidR="00A00D99" w:rsidRPr="00345D9B">
        <w:t xml:space="preserve">on borrowed funds. The exposure of SIFIs to hedge funds is well known, as the latter </w:t>
      </w:r>
      <w:r w:rsidR="00FF44E0" w:rsidRPr="00345D9B">
        <w:t xml:space="preserve">offered a convenient way for regulated banks to evade capital requirements by moving liabilities off-balance sheet. </w:t>
      </w:r>
      <w:r w:rsidR="00E3764C" w:rsidRPr="00345D9B">
        <w:t>Such high leverage was evidently deemed safe because positions were insured by CDSs (</w:t>
      </w:r>
      <w:r w:rsidR="00A00D99" w:rsidRPr="00345D9B">
        <w:t xml:space="preserve">hedge funds are among the </w:t>
      </w:r>
      <w:r w:rsidR="00FF44E0" w:rsidRPr="00345D9B">
        <w:t>largest users of credit default insurance</w:t>
      </w:r>
      <w:r w:rsidR="00E3764C" w:rsidRPr="00345D9B">
        <w:t>--</w:t>
      </w:r>
      <w:r w:rsidR="00FF44E0" w:rsidRPr="00345D9B">
        <w:t>see Table 1).</w:t>
      </w:r>
      <w:r w:rsidR="005C57C7" w:rsidRPr="00345D9B">
        <w:t xml:space="preserve"> </w:t>
      </w:r>
      <w:r w:rsidR="00DB0C99" w:rsidRPr="00345D9B">
        <w:t>But, as we noted at the outset, the CDS subsumes a paradox or fallacy of composition.</w:t>
      </w:r>
      <w:r w:rsidR="0066532E" w:rsidRPr="00345D9B">
        <w:t xml:space="preserve"> </w:t>
      </w:r>
      <w:r w:rsidR="00443412" w:rsidRPr="00345D9B">
        <w:t xml:space="preserve">Cheap portfolio insurance makes its safe and profitable for </w:t>
      </w:r>
      <w:r w:rsidR="007064B3" w:rsidRPr="00345D9B">
        <w:t xml:space="preserve">interconnected investment funds to leverage up, while simultaneously rendering the financial system more fragile. </w:t>
      </w:r>
    </w:p>
    <w:p w:rsidR="007064B3" w:rsidRPr="00345D9B" w:rsidRDefault="0066532E" w:rsidP="00345D9B">
      <w:r w:rsidRPr="00345D9B">
        <w:t xml:space="preserve">     </w:t>
      </w:r>
      <w:r w:rsidR="005C57C7" w:rsidRPr="00345D9B">
        <w:t>Unless CDS dealers are forced to set aside very substantial reserves against potential losses, the credit default insurance system will never be able to handle anything more than a localized, quarantined credit event.</w:t>
      </w:r>
      <w:r w:rsidR="00A00260" w:rsidRPr="00345D9B">
        <w:t xml:space="preserve"> </w:t>
      </w:r>
      <w:r w:rsidR="00DB0C99" w:rsidRPr="00345D9B">
        <w:t>This much should be obvious from allocation of $182 billion in Troubled As</w:t>
      </w:r>
      <w:r w:rsidR="001C16B9" w:rsidRPr="00345D9B">
        <w:t xml:space="preserve">set Relief Program (TARP) funds </w:t>
      </w:r>
      <w:r w:rsidR="007064B3" w:rsidRPr="00345D9B">
        <w:t xml:space="preserve">to </w:t>
      </w:r>
      <w:r w:rsidR="001C16B9" w:rsidRPr="00345D9B">
        <w:t xml:space="preserve">AIG to </w:t>
      </w:r>
      <w:r w:rsidR="007064B3" w:rsidRPr="00345D9B">
        <w:t>pay off</w:t>
      </w:r>
      <w:r w:rsidR="001C16B9" w:rsidRPr="00345D9B">
        <w:t xml:space="preserve"> its CDS obligations.</w:t>
      </w:r>
    </w:p>
    <w:p w:rsidR="00C953A5" w:rsidRDefault="007064B3" w:rsidP="00345D9B">
      <w:pPr>
        <w:jc w:val="center"/>
        <w:rPr>
          <w:b/>
          <w:bCs/>
        </w:rPr>
      </w:pPr>
      <w:r w:rsidRPr="00345D9B">
        <w:rPr>
          <w:b/>
          <w:bCs/>
        </w:rPr>
        <w:t>Concluding Remarks</w:t>
      </w:r>
    </w:p>
    <w:p w:rsidR="00345D9B" w:rsidRPr="00345D9B" w:rsidRDefault="00345D9B" w:rsidP="00345D9B">
      <w:pPr>
        <w:jc w:val="center"/>
        <w:rPr>
          <w:b/>
          <w:bCs/>
        </w:rPr>
      </w:pPr>
    </w:p>
    <w:p w:rsidR="007064B3" w:rsidRPr="00345D9B" w:rsidRDefault="007064B3" w:rsidP="00345D9B">
      <w:r>
        <w:rPr>
          <w:b/>
          <w:bCs/>
          <w:sz w:val="22"/>
          <w:szCs w:val="22"/>
        </w:rPr>
        <w:t xml:space="preserve">          </w:t>
      </w:r>
      <w:r w:rsidR="00B40D17" w:rsidRPr="00345D9B">
        <w:t xml:space="preserve">The position that credit default insurance should be regulated but not banned is defensible only if it can be shown to have a socially-redeeming value. </w:t>
      </w:r>
      <w:r w:rsidR="00CB6EA8" w:rsidRPr="00345D9B">
        <w:t xml:space="preserve">Mathematical proofs of the benefits of market </w:t>
      </w:r>
      <w:r w:rsidR="00B40D17" w:rsidRPr="00345D9B">
        <w:t xml:space="preserve">completeness should not suffice. </w:t>
      </w:r>
      <w:r w:rsidR="00CB6EA8" w:rsidRPr="00345D9B">
        <w:t xml:space="preserve">The main practical argument in favor of the CDS is that its proliferation corresponded to a general improvement in credit availability, a claim that, for the reasons outlined above, is probably true. </w:t>
      </w:r>
      <w:r w:rsidR="00307ECD" w:rsidRPr="00345D9B">
        <w:t xml:space="preserve">It is also likely that an outright prohibition, or the adoption of rules that make portfolio insurance more expensive, would, by the reducing the demand for CDOs, make credit more difficult to obtain for many individuals. But is this necessarily a bad thing? </w:t>
      </w:r>
      <w:r w:rsidR="00947728" w:rsidRPr="00345D9B">
        <w:t>An important lesson of recent economic history is that reliance on debt to sustain consumption causes the deterioration of household financial conditions, driving the system inexorably toward a Minsky moment.</w:t>
      </w:r>
    </w:p>
    <w:p w:rsidR="00453B3F" w:rsidRPr="00345D9B" w:rsidRDefault="00453B3F" w:rsidP="00345D9B">
      <w:r w:rsidRPr="00345D9B">
        <w:t xml:space="preserve">     In the end, the CDS is a piece of financial engineering that serves a narrow, albeit politically powerful</w:t>
      </w:r>
      <w:r w:rsidR="00934733" w:rsidRPr="00345D9B">
        <w:t>,</w:t>
      </w:r>
      <w:r w:rsidRPr="00345D9B">
        <w:t xml:space="preserve"> interest.</w:t>
      </w:r>
      <w:r w:rsidR="00934733" w:rsidRPr="00345D9B">
        <w:t xml:space="preserve"> Students of banking history know that a high degree of financial sector concentration in combination with high </w:t>
      </w:r>
      <w:r w:rsidR="00B43957" w:rsidRPr="00345D9B">
        <w:t>l</w:t>
      </w:r>
      <w:r w:rsidR="00934733" w:rsidRPr="00345D9B">
        <w:t xml:space="preserve">everage among financial institutions is a formula for economic disaster. There is no </w:t>
      </w:r>
      <w:r w:rsidR="00FD2DCA" w:rsidRPr="00345D9B">
        <w:t>evidence to support the</w:t>
      </w:r>
      <w:r w:rsidR="00934733" w:rsidRPr="00345D9B">
        <w:t xml:space="preserve"> beli</w:t>
      </w:r>
      <w:r w:rsidR="00FD2DCA" w:rsidRPr="00345D9B">
        <w:t xml:space="preserve">ef </w:t>
      </w:r>
      <w:r w:rsidR="00934733" w:rsidRPr="00345D9B">
        <w:t>that financial engineering enable</w:t>
      </w:r>
      <w:r w:rsidR="00FD2DCA" w:rsidRPr="00345D9B">
        <w:t>s</w:t>
      </w:r>
      <w:r w:rsidR="00934733" w:rsidRPr="00345D9B">
        <w:t xml:space="preserve"> economic systems to safely operate at permanently higher leverage or debt to GDP ratios. </w:t>
      </w:r>
    </w:p>
    <w:p w:rsidR="00934733" w:rsidRPr="00B40D17" w:rsidRDefault="00934733" w:rsidP="00947728">
      <w:pPr>
        <w:spacing w:line="480" w:lineRule="auto"/>
        <w:rPr>
          <w:sz w:val="22"/>
          <w:szCs w:val="22"/>
        </w:rPr>
      </w:pPr>
    </w:p>
    <w:p w:rsidR="001B21FD" w:rsidRPr="00345D9B" w:rsidRDefault="0072408B" w:rsidP="00345D9B">
      <w:pPr>
        <w:spacing w:line="480" w:lineRule="auto"/>
        <w:jc w:val="center"/>
      </w:pPr>
      <w:r w:rsidRPr="00345D9B">
        <w:rPr>
          <w:b/>
          <w:bCs/>
        </w:rPr>
        <w:lastRenderedPageBreak/>
        <w:t>References</w:t>
      </w:r>
    </w:p>
    <w:p w:rsidR="001657EA" w:rsidRPr="00345D9B" w:rsidRDefault="001657EA" w:rsidP="006979CF">
      <w:r w:rsidRPr="00345D9B">
        <w:t>Brown, Christopher</w:t>
      </w:r>
      <w:r w:rsidRPr="00345D9B">
        <w:rPr>
          <w:i/>
        </w:rPr>
        <w:t>. Inequality, Consumer Credit, and the Saving Puzzle</w:t>
      </w:r>
      <w:r w:rsidRPr="00345D9B">
        <w:t>. Cheltenham, UK: Edward Elgar, 2008.</w:t>
      </w:r>
      <w:r w:rsidR="00345D9B" w:rsidRPr="00345D9B">
        <w:br/>
      </w:r>
    </w:p>
    <w:p w:rsidR="00B67A82" w:rsidRPr="00345D9B" w:rsidRDefault="00B67A82" w:rsidP="006979CF">
      <w:r w:rsidRPr="00345D9B">
        <w:t xml:space="preserve">Buffet, Warren. “Chairman’s Letter” in Berkshire Hathaway Inc. 2002 </w:t>
      </w:r>
      <w:r w:rsidRPr="00345D9B">
        <w:rPr>
          <w:i/>
          <w:iCs/>
        </w:rPr>
        <w:t>Annual Report</w:t>
      </w:r>
      <w:r w:rsidRPr="00345D9B">
        <w:t xml:space="preserve"> (http://www.berkshirehathaway.com/2002ar/2002ar.pdf). </w:t>
      </w:r>
      <w:r w:rsidR="00345D9B" w:rsidRPr="00345D9B">
        <w:br/>
      </w:r>
    </w:p>
    <w:p w:rsidR="001B21FD" w:rsidRPr="00345D9B" w:rsidRDefault="001B21FD" w:rsidP="006979CF">
      <w:r w:rsidRPr="00345D9B">
        <w:t xml:space="preserve">Camerer, C. and Weber, M. “Recent Developments in Modelling Preferences: Uncertainty and Ambiguity.” </w:t>
      </w:r>
      <w:r w:rsidRPr="00345D9B">
        <w:rPr>
          <w:i/>
          <w:iCs/>
        </w:rPr>
        <w:t>Journal of Risk and Uncertainty</w:t>
      </w:r>
      <w:r w:rsidRPr="00345D9B">
        <w:t>,</w:t>
      </w:r>
      <w:r w:rsidR="00B67A82" w:rsidRPr="00345D9B">
        <w:t xml:space="preserve"> 5, 4</w:t>
      </w:r>
      <w:r w:rsidRPr="00345D9B">
        <w:t xml:space="preserve"> 1992, 325-370.</w:t>
      </w:r>
      <w:r w:rsidR="00345D9B" w:rsidRPr="00345D9B">
        <w:br/>
      </w:r>
      <w:r w:rsidRPr="00345D9B">
        <w:t xml:space="preserve">  </w:t>
      </w:r>
    </w:p>
    <w:p w:rsidR="001B21FD" w:rsidRPr="00345D9B" w:rsidRDefault="001B21FD" w:rsidP="006979CF">
      <w:r w:rsidRPr="00345D9B">
        <w:t xml:space="preserve">Davidson, Paul. “Reality and Economic Theory.” </w:t>
      </w:r>
      <w:r w:rsidRPr="00345D9B">
        <w:rPr>
          <w:i/>
          <w:iCs/>
        </w:rPr>
        <w:t>Journal of Post Keynesian Economics</w:t>
      </w:r>
      <w:r w:rsidRPr="00345D9B">
        <w:t xml:space="preserve">, </w:t>
      </w:r>
      <w:r w:rsidR="00B67A82" w:rsidRPr="00345D9B">
        <w:t xml:space="preserve">18, 4 (Summer </w:t>
      </w:r>
      <w:r w:rsidRPr="00345D9B">
        <w:t>1996), 479-508.</w:t>
      </w:r>
      <w:r w:rsidR="00345D9B" w:rsidRPr="00345D9B">
        <w:br/>
      </w:r>
    </w:p>
    <w:p w:rsidR="001B21FD" w:rsidRPr="00345D9B" w:rsidRDefault="001B21FD" w:rsidP="006979CF">
      <w:r w:rsidRPr="00345D9B">
        <w:t>Dequech, David. “Fundamental Uncertainty and Ambiguity.” Eastern Economic Journal, 26, 1 (2000), 41-60.</w:t>
      </w:r>
      <w:r w:rsidR="00345D9B" w:rsidRPr="00345D9B">
        <w:br/>
      </w:r>
    </w:p>
    <w:p w:rsidR="005D352C" w:rsidRPr="00345D9B" w:rsidRDefault="005D352C" w:rsidP="006979CF">
      <w:r w:rsidRPr="00345D9B">
        <w:t xml:space="preserve">Debreu, Gerard. </w:t>
      </w:r>
      <w:r w:rsidRPr="00345D9B">
        <w:rPr>
          <w:i/>
          <w:iCs/>
        </w:rPr>
        <w:t>Theory of Value</w:t>
      </w:r>
      <w:r w:rsidRPr="00345D9B">
        <w:t>. New Haven: Cowles Foundation, 1954.</w:t>
      </w:r>
      <w:r w:rsidR="00345D9B" w:rsidRPr="00345D9B">
        <w:br/>
      </w:r>
    </w:p>
    <w:p w:rsidR="007D255F" w:rsidRPr="00345D9B" w:rsidRDefault="005D352C" w:rsidP="006979CF">
      <w:r w:rsidRPr="00345D9B">
        <w:t>Duffie, Darrell and Huang, Chie Fu. “Implementing Arrow-Debreu Equilibrium by Cont</w:t>
      </w:r>
      <w:r w:rsidR="00DE3401" w:rsidRPr="00345D9B">
        <w:t>i</w:t>
      </w:r>
      <w:r w:rsidRPr="00345D9B">
        <w:t xml:space="preserve">nuous Trading in a Few Long-Lived Securities.” </w:t>
      </w:r>
      <w:r w:rsidRPr="00345D9B">
        <w:rPr>
          <w:i/>
        </w:rPr>
        <w:t>Econometrica</w:t>
      </w:r>
      <w:r w:rsidRPr="00345D9B">
        <w:t>, 56, 6 (1985), 1337-1356.</w:t>
      </w:r>
      <w:r w:rsidR="00345D9B" w:rsidRPr="00345D9B">
        <w:br/>
      </w:r>
    </w:p>
    <w:p w:rsidR="007D255F" w:rsidRPr="00345D9B" w:rsidRDefault="00B67A82" w:rsidP="006979CF">
      <w:r w:rsidRPr="00345D9B">
        <w:t>Holton, Glyn. “Defining Risk.”</w:t>
      </w:r>
      <w:r w:rsidR="007D255F" w:rsidRPr="00345D9B">
        <w:t xml:space="preserve"> </w:t>
      </w:r>
      <w:r w:rsidR="007D255F" w:rsidRPr="00345D9B">
        <w:rPr>
          <w:i/>
          <w:iCs/>
        </w:rPr>
        <w:t>Financial Analysts Journal</w:t>
      </w:r>
      <w:r w:rsidR="007D255F" w:rsidRPr="00345D9B">
        <w:t>, 60, 6 (2004), 19-25.</w:t>
      </w:r>
      <w:r w:rsidR="00345D9B" w:rsidRPr="00345D9B">
        <w:br/>
      </w:r>
    </w:p>
    <w:p w:rsidR="005D352C" w:rsidRPr="00345D9B" w:rsidRDefault="007D255F" w:rsidP="006979CF">
      <w:r w:rsidRPr="00345D9B">
        <w:t xml:space="preserve">Knight, Frank H. </w:t>
      </w:r>
      <w:r w:rsidRPr="00345D9B">
        <w:rPr>
          <w:i/>
          <w:iCs/>
        </w:rPr>
        <w:t>Risk, Uncertainty, and Profit</w:t>
      </w:r>
      <w:r w:rsidRPr="00345D9B">
        <w:t>. New York</w:t>
      </w:r>
      <w:r w:rsidR="00B67A82" w:rsidRPr="00345D9B">
        <w:t>: Hart, Shafner, and Marx, 1921.</w:t>
      </w:r>
      <w:r w:rsidR="00345D9B" w:rsidRPr="00345D9B">
        <w:br/>
      </w:r>
    </w:p>
    <w:p w:rsidR="005D352C" w:rsidRPr="00345D9B" w:rsidRDefault="005D352C" w:rsidP="006979CF">
      <w:r w:rsidRPr="00345D9B">
        <w:t xml:space="preserve">Li, David. “On Default Correlation: A Copula </w:t>
      </w:r>
      <w:r w:rsidR="00B67A82" w:rsidRPr="00345D9B">
        <w:t xml:space="preserve">Function </w:t>
      </w:r>
      <w:r w:rsidRPr="00345D9B">
        <w:t xml:space="preserve">Approach.” </w:t>
      </w:r>
      <w:r w:rsidRPr="00345D9B">
        <w:rPr>
          <w:i/>
          <w:iCs/>
        </w:rPr>
        <w:t>Journal of Fixed Income</w:t>
      </w:r>
      <w:r w:rsidRPr="00345D9B">
        <w:t>, 9, 4 (2000), 43-54.</w:t>
      </w:r>
      <w:r w:rsidR="00345D9B" w:rsidRPr="00345D9B">
        <w:br/>
      </w:r>
    </w:p>
    <w:p w:rsidR="00AD10FC" w:rsidRPr="00345D9B" w:rsidRDefault="005D352C" w:rsidP="006979CF">
      <w:r w:rsidRPr="00345D9B">
        <w:t xml:space="preserve">McIlroy, David. “The Regulatory Issues Raised by Credit Default Swaps.” </w:t>
      </w:r>
      <w:r w:rsidRPr="00345D9B">
        <w:rPr>
          <w:i/>
          <w:iCs/>
        </w:rPr>
        <w:t>Journal of Banking Regulation</w:t>
      </w:r>
      <w:r w:rsidRPr="00345D9B">
        <w:t>, 11, 4 (2010, 303-318).</w:t>
      </w:r>
      <w:r w:rsidR="00345D9B" w:rsidRPr="00345D9B">
        <w:br/>
      </w:r>
    </w:p>
    <w:p w:rsidR="00B62587" w:rsidRPr="00345D9B" w:rsidRDefault="00AD10FC" w:rsidP="006979CF">
      <w:r w:rsidRPr="00345D9B">
        <w:t xml:space="preserve">Minsky, Hyman. </w:t>
      </w:r>
      <w:r w:rsidRPr="00345D9B">
        <w:rPr>
          <w:i/>
          <w:iCs/>
        </w:rPr>
        <w:t>Stabilizing an Unstable Economy</w:t>
      </w:r>
      <w:r w:rsidRPr="00345D9B">
        <w:t>. New Haven: Yale University press, 1986.</w:t>
      </w:r>
      <w:r w:rsidR="00345D9B" w:rsidRPr="00345D9B">
        <w:br/>
      </w:r>
    </w:p>
    <w:p w:rsidR="00345D9B" w:rsidRPr="00345D9B" w:rsidRDefault="00B43957" w:rsidP="00345D9B">
      <w:r w:rsidRPr="00345D9B">
        <w:t xml:space="preserve">Salmon, Felix. </w:t>
      </w:r>
      <w:r w:rsidR="00B62587" w:rsidRPr="00345D9B">
        <w:t xml:space="preserve"> “Recipe for Disaster: The Formula that Killed Wall Street.” </w:t>
      </w:r>
      <w:r w:rsidR="00B62587" w:rsidRPr="00345D9B">
        <w:rPr>
          <w:i/>
        </w:rPr>
        <w:t>Wired</w:t>
      </w:r>
      <w:r w:rsidR="00B62587" w:rsidRPr="00345D9B">
        <w:t xml:space="preserve">, 17, 3 (February 2009), </w:t>
      </w:r>
      <w:r w:rsidR="00B67A82" w:rsidRPr="00345D9B">
        <w:t>419-425.</w:t>
      </w:r>
      <w:r w:rsidR="00345D9B" w:rsidRPr="00345D9B">
        <w:br/>
      </w:r>
      <w:r w:rsidR="005D352C" w:rsidRPr="00345D9B">
        <w:t xml:space="preserve"> </w:t>
      </w:r>
    </w:p>
    <w:p w:rsidR="00870BF1" w:rsidRPr="00345D9B" w:rsidRDefault="00870BF1" w:rsidP="006979CF">
      <w:pPr>
        <w:pStyle w:val="Textbody"/>
        <w:ind w:hanging="14"/>
      </w:pPr>
      <w:r w:rsidRPr="00345D9B">
        <w:rPr>
          <w:lang w:val="en-GB"/>
        </w:rPr>
        <w:t xml:space="preserve">Shackle, G.L.S. , </w:t>
      </w:r>
      <w:r w:rsidRPr="00345D9B">
        <w:rPr>
          <w:i/>
          <w:lang w:val="en-GB"/>
        </w:rPr>
        <w:t>Uncertainty in Economics</w:t>
      </w:r>
      <w:r w:rsidRPr="00345D9B">
        <w:rPr>
          <w:lang w:val="en-GB"/>
        </w:rPr>
        <w:t>, Cambridge: Cambridge University Press, 1955.</w:t>
      </w:r>
      <w:r w:rsidRPr="00345D9B">
        <w:rPr>
          <w:lang w:val="en-GB"/>
        </w:rPr>
        <w:br/>
      </w:r>
    </w:p>
    <w:p w:rsidR="00A07888" w:rsidRPr="00345D9B" w:rsidRDefault="0072408B" w:rsidP="006979CF">
      <w:r w:rsidRPr="00345D9B">
        <w:t xml:space="preserve">Simkovic, Michael. “Secret Liens and the Financial Crisis of 2008.” </w:t>
      </w:r>
      <w:r w:rsidRPr="00345D9B">
        <w:rPr>
          <w:i/>
          <w:iCs/>
        </w:rPr>
        <w:t>American Bankruptcy Journal,</w:t>
      </w:r>
      <w:r w:rsidRPr="00345D9B">
        <w:t xml:space="preserve"> 83 (2009), 253-296.</w:t>
      </w:r>
      <w:r w:rsidR="00345D9B" w:rsidRPr="00345D9B">
        <w:br/>
      </w:r>
    </w:p>
    <w:p w:rsidR="0072408B" w:rsidRPr="00345D9B" w:rsidRDefault="00A07888" w:rsidP="006979CF">
      <w:r w:rsidRPr="00345D9B">
        <w:lastRenderedPageBreak/>
        <w:t xml:space="preserve">Tavakoli, Janet. “The Elusive Income of Synthetic CDOs.” </w:t>
      </w:r>
      <w:r w:rsidRPr="00345D9B">
        <w:rPr>
          <w:i/>
        </w:rPr>
        <w:t>Journal of Structured Finance</w:t>
      </w:r>
      <w:r w:rsidRPr="00345D9B">
        <w:t xml:space="preserve">, 11, 4 (2006), </w:t>
      </w:r>
      <w:r w:rsidR="00B67A82" w:rsidRPr="00345D9B">
        <w:t>48-58</w:t>
      </w:r>
      <w:r w:rsidR="00345D9B" w:rsidRPr="00345D9B">
        <w:t>.</w:t>
      </w:r>
    </w:p>
    <w:p w:rsidR="00345D9B" w:rsidRPr="00345D9B" w:rsidRDefault="00345D9B" w:rsidP="006979CF"/>
    <w:p w:rsidR="00345D9B" w:rsidRPr="00345D9B" w:rsidRDefault="00345D9B" w:rsidP="00345D9B">
      <w:r w:rsidRPr="00345D9B">
        <w:t xml:space="preserve">Wray, L. Randall. “The Rise and Fall of Money Manager Capitalism.” </w:t>
      </w:r>
      <w:r w:rsidRPr="00345D9B">
        <w:rPr>
          <w:i/>
        </w:rPr>
        <w:t>Cambridge Journal of Economics</w:t>
      </w:r>
      <w:r w:rsidRPr="00345D9B">
        <w:t>, 33, 4 (July 2009), 807-828.</w:t>
      </w:r>
    </w:p>
    <w:p w:rsidR="00345D9B" w:rsidRDefault="00345D9B" w:rsidP="00345D9B">
      <w:r w:rsidRPr="00345D9B">
        <w:br/>
        <w:t>______________. “Waiting for the Next Crash: The Minskyan Lessons We Failed to Learn.”</w:t>
      </w:r>
    </w:p>
    <w:p w:rsidR="00345D9B" w:rsidRPr="00345D9B" w:rsidRDefault="00345D9B" w:rsidP="00345D9B"/>
    <w:p w:rsidR="00345D9B" w:rsidRPr="00345D9B" w:rsidRDefault="00345D9B" w:rsidP="00345D9B">
      <w:r w:rsidRPr="00345D9B">
        <w:t>Real World Economics review, 58, 1, (2011), 59-68.</w:t>
      </w:r>
      <w:r w:rsidRPr="00345D9B">
        <w:br/>
      </w:r>
    </w:p>
    <w:p w:rsidR="00345D9B" w:rsidRPr="00345D9B" w:rsidRDefault="00345D9B" w:rsidP="006979CF"/>
    <w:sectPr w:rsidR="00345D9B" w:rsidRPr="00345D9B" w:rsidSect="002B4E8F">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76A" w:rsidRDefault="00D0376A">
      <w:r>
        <w:separator/>
      </w:r>
    </w:p>
  </w:endnote>
  <w:endnote w:type="continuationSeparator" w:id="0">
    <w:p w:rsidR="00D0376A" w:rsidRDefault="00D0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6A" w:rsidRDefault="00893FB9" w:rsidP="00813021">
    <w:pPr>
      <w:pStyle w:val="Footer"/>
      <w:framePr w:wrap="around" w:vAnchor="text" w:hAnchor="margin" w:xAlign="center" w:y="1"/>
      <w:rPr>
        <w:rStyle w:val="PageNumber"/>
      </w:rPr>
    </w:pPr>
    <w:r>
      <w:rPr>
        <w:rStyle w:val="PageNumber"/>
      </w:rPr>
      <w:fldChar w:fldCharType="begin"/>
    </w:r>
    <w:r w:rsidR="00D0376A">
      <w:rPr>
        <w:rStyle w:val="PageNumber"/>
      </w:rPr>
      <w:instrText xml:space="preserve">PAGE  </w:instrText>
    </w:r>
    <w:r>
      <w:rPr>
        <w:rStyle w:val="PageNumber"/>
      </w:rPr>
      <w:fldChar w:fldCharType="end"/>
    </w:r>
  </w:p>
  <w:p w:rsidR="00D0376A" w:rsidRDefault="00D037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6A" w:rsidRDefault="00893FB9" w:rsidP="00813021">
    <w:pPr>
      <w:pStyle w:val="Footer"/>
      <w:framePr w:wrap="around" w:vAnchor="text" w:hAnchor="margin" w:xAlign="center" w:y="1"/>
      <w:rPr>
        <w:rStyle w:val="PageNumber"/>
      </w:rPr>
    </w:pPr>
    <w:r>
      <w:rPr>
        <w:rStyle w:val="PageNumber"/>
      </w:rPr>
      <w:fldChar w:fldCharType="begin"/>
    </w:r>
    <w:r w:rsidR="00D0376A">
      <w:rPr>
        <w:rStyle w:val="PageNumber"/>
      </w:rPr>
      <w:instrText xml:space="preserve">PAGE  </w:instrText>
    </w:r>
    <w:r>
      <w:rPr>
        <w:rStyle w:val="PageNumber"/>
      </w:rPr>
      <w:fldChar w:fldCharType="separate"/>
    </w:r>
    <w:r w:rsidR="0068210A">
      <w:rPr>
        <w:rStyle w:val="PageNumber"/>
        <w:noProof/>
      </w:rPr>
      <w:t>1</w:t>
    </w:r>
    <w:r>
      <w:rPr>
        <w:rStyle w:val="PageNumber"/>
      </w:rPr>
      <w:fldChar w:fldCharType="end"/>
    </w:r>
  </w:p>
  <w:p w:rsidR="00D0376A" w:rsidRDefault="00D03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76A" w:rsidRDefault="00D0376A">
      <w:r>
        <w:separator/>
      </w:r>
    </w:p>
  </w:footnote>
  <w:footnote w:type="continuationSeparator" w:id="0">
    <w:p w:rsidR="00D0376A" w:rsidRDefault="00D0376A">
      <w:r>
        <w:continuationSeparator/>
      </w:r>
    </w:p>
  </w:footnote>
  <w:footnote w:id="1">
    <w:p w:rsidR="00002217" w:rsidRPr="00002217" w:rsidRDefault="00002217">
      <w:pPr>
        <w:pStyle w:val="FootnoteText"/>
        <w:rPr>
          <w:b w:val="0"/>
          <w:sz w:val="20"/>
          <w:szCs w:val="20"/>
        </w:rPr>
      </w:pPr>
      <w:r w:rsidRPr="00002217">
        <w:rPr>
          <w:rStyle w:val="FootnoteReference"/>
          <w:b w:val="0"/>
          <w:sz w:val="20"/>
          <w:szCs w:val="20"/>
        </w:rPr>
        <w:footnoteRef/>
      </w:r>
      <w:r w:rsidR="0068210A">
        <w:rPr>
          <w:b w:val="0"/>
          <w:sz w:val="20"/>
          <w:szCs w:val="20"/>
        </w:rPr>
        <w:t xml:space="preserve"> </w:t>
      </w:r>
      <w:bookmarkStart w:id="0" w:name="_GoBack"/>
      <w:bookmarkEnd w:id="0"/>
      <w:r w:rsidRPr="00002217">
        <w:rPr>
          <w:b w:val="0"/>
          <w:sz w:val="20"/>
          <w:szCs w:val="20"/>
        </w:rPr>
        <w:t>For presentation at the Association of Evolutionary Economics, January 6, 2012, Chicago.</w:t>
      </w:r>
    </w:p>
  </w:footnote>
  <w:footnote w:id="2">
    <w:p w:rsidR="00002217" w:rsidRPr="00002217" w:rsidRDefault="00002217">
      <w:pPr>
        <w:pStyle w:val="FootnoteText"/>
        <w:rPr>
          <w:sz w:val="20"/>
          <w:szCs w:val="20"/>
        </w:rPr>
      </w:pPr>
      <w:r>
        <w:rPr>
          <w:rStyle w:val="FootnoteReference"/>
        </w:rPr>
        <w:footnoteRef/>
      </w:r>
      <w:r>
        <w:t xml:space="preserve"> </w:t>
      </w:r>
      <w:r w:rsidRPr="00002217">
        <w:rPr>
          <w:b w:val="0"/>
          <w:bCs/>
          <w:sz w:val="20"/>
          <w:szCs w:val="20"/>
        </w:rPr>
        <w:t>A credit default swap is a bilateral contract</w:t>
      </w:r>
      <w:r w:rsidRPr="00002217">
        <w:rPr>
          <w:rFonts w:hint="eastAsia"/>
          <w:b w:val="0"/>
          <w:bCs/>
          <w:sz w:val="20"/>
          <w:szCs w:val="20"/>
        </w:rPr>
        <w:t xml:space="preserve"> </w:t>
      </w:r>
      <w:r w:rsidRPr="00002217">
        <w:rPr>
          <w:b w:val="0"/>
          <w:bCs/>
          <w:sz w:val="20"/>
          <w:szCs w:val="20"/>
        </w:rPr>
        <w:t>where a counterparty buys default protection with respect to</w:t>
      </w:r>
      <w:r w:rsidRPr="00002217">
        <w:rPr>
          <w:rFonts w:hint="eastAsia"/>
          <w:b w:val="0"/>
          <w:bCs/>
          <w:sz w:val="20"/>
          <w:szCs w:val="20"/>
        </w:rPr>
        <w:t xml:space="preserve"> </w:t>
      </w:r>
      <w:r w:rsidRPr="00002217">
        <w:rPr>
          <w:b w:val="0"/>
          <w:bCs/>
          <w:sz w:val="20"/>
          <w:szCs w:val="20"/>
        </w:rPr>
        <w:t>a referenced</w:t>
      </w:r>
      <w:r w:rsidRPr="00002217">
        <w:rPr>
          <w:rFonts w:hint="eastAsia"/>
          <w:b w:val="0"/>
          <w:bCs/>
          <w:sz w:val="20"/>
          <w:szCs w:val="20"/>
        </w:rPr>
        <w:t xml:space="preserve"> entity</w:t>
      </w:r>
      <w:r w:rsidRPr="00002217">
        <w:rPr>
          <w:b w:val="0"/>
          <w:bCs/>
          <w:sz w:val="20"/>
          <w:szCs w:val="20"/>
        </w:rPr>
        <w:t xml:space="preserve"> (such as a CDO tranche). The contract has a given maturity, but will terminate</w:t>
      </w:r>
      <w:r w:rsidRPr="00002217">
        <w:rPr>
          <w:rFonts w:hint="eastAsia"/>
          <w:b w:val="0"/>
          <w:bCs/>
          <w:sz w:val="20"/>
          <w:szCs w:val="20"/>
        </w:rPr>
        <w:t xml:space="preserve"> </w:t>
      </w:r>
      <w:r w:rsidRPr="00002217">
        <w:rPr>
          <w:b w:val="0"/>
          <w:bCs/>
          <w:sz w:val="20"/>
          <w:szCs w:val="20"/>
        </w:rPr>
        <w:t xml:space="preserve">early if the credit event occurs. </w:t>
      </w:r>
      <w:r w:rsidRPr="00002217">
        <w:rPr>
          <w:rFonts w:hint="eastAsia"/>
          <w:b w:val="0"/>
          <w:bCs/>
          <w:sz w:val="20"/>
          <w:szCs w:val="20"/>
        </w:rPr>
        <w:t>T</w:t>
      </w:r>
      <w:r w:rsidRPr="00002217">
        <w:rPr>
          <w:b w:val="0"/>
          <w:bCs/>
          <w:sz w:val="20"/>
          <w:szCs w:val="20"/>
        </w:rPr>
        <w:t>he protection</w:t>
      </w:r>
      <w:r w:rsidRPr="00002217">
        <w:rPr>
          <w:rFonts w:hint="eastAsia"/>
          <w:b w:val="0"/>
          <w:bCs/>
          <w:sz w:val="20"/>
          <w:szCs w:val="20"/>
        </w:rPr>
        <w:t xml:space="preserve"> </w:t>
      </w:r>
      <w:r w:rsidRPr="00002217">
        <w:rPr>
          <w:b w:val="0"/>
          <w:bCs/>
          <w:sz w:val="20"/>
          <w:szCs w:val="20"/>
        </w:rPr>
        <w:t>seller receives a premium (expressed in basis points per annum on the notional amount) from</w:t>
      </w:r>
      <w:r w:rsidRPr="00002217">
        <w:rPr>
          <w:rFonts w:hint="eastAsia"/>
          <w:b w:val="0"/>
          <w:bCs/>
          <w:sz w:val="20"/>
          <w:szCs w:val="20"/>
        </w:rPr>
        <w:t xml:space="preserve"> </w:t>
      </w:r>
      <w:r w:rsidRPr="00002217">
        <w:rPr>
          <w:b w:val="0"/>
          <w:bCs/>
          <w:sz w:val="20"/>
          <w:szCs w:val="20"/>
        </w:rPr>
        <w:t>the protection buyer, who will receive a payment</w:t>
      </w:r>
      <w:r w:rsidRPr="00002217">
        <w:rPr>
          <w:rFonts w:hint="eastAsia"/>
          <w:b w:val="0"/>
          <w:bCs/>
          <w:sz w:val="20"/>
          <w:szCs w:val="20"/>
        </w:rPr>
        <w:t xml:space="preserve">  </w:t>
      </w:r>
      <w:r w:rsidRPr="00002217">
        <w:rPr>
          <w:b w:val="0"/>
          <w:bCs/>
          <w:sz w:val="20"/>
          <w:szCs w:val="20"/>
        </w:rPr>
        <w:t>upon the occurrence of the credit event (default, bankruptcy, debt rescheduling, or rating agency downgrade) linked to the reference entity. Normally, the default payment</w:t>
      </w:r>
      <w:r w:rsidRPr="00002217">
        <w:rPr>
          <w:rFonts w:hint="eastAsia"/>
          <w:b w:val="0"/>
          <w:bCs/>
          <w:sz w:val="20"/>
          <w:szCs w:val="20"/>
        </w:rPr>
        <w:t xml:space="preserve"> </w:t>
      </w:r>
      <w:r w:rsidRPr="00002217">
        <w:rPr>
          <w:b w:val="0"/>
          <w:bCs/>
          <w:sz w:val="20"/>
          <w:szCs w:val="20"/>
        </w:rPr>
        <w:t>is given by the notional amount minus the recovery amount (net loss). A</w:t>
      </w:r>
      <w:r w:rsidRPr="00002217">
        <w:rPr>
          <w:rFonts w:hint="eastAsia"/>
          <w:b w:val="0"/>
          <w:bCs/>
          <w:sz w:val="20"/>
          <w:szCs w:val="20"/>
        </w:rPr>
        <w:t>ccording to the condition of settlement, CDSs are divided into physical settlement and cash settlement CDS</w:t>
      </w:r>
      <w:r w:rsidRPr="00002217">
        <w:rPr>
          <w:b w:val="0"/>
          <w:bCs/>
          <w:sz w:val="20"/>
          <w:szCs w:val="20"/>
        </w:rPr>
        <w:t>. T</w:t>
      </w:r>
      <w:r w:rsidRPr="00002217">
        <w:rPr>
          <w:rFonts w:hint="eastAsia"/>
          <w:b w:val="0"/>
          <w:bCs/>
          <w:sz w:val="20"/>
          <w:szCs w:val="20"/>
        </w:rPr>
        <w:t>he later are also called naked CDSs, since the buyer need not deliver any insured or protected interest to the seller.</w:t>
      </w:r>
    </w:p>
  </w:footnote>
  <w:footnote w:id="3">
    <w:p w:rsidR="003A438A" w:rsidRPr="00002217" w:rsidRDefault="003A438A" w:rsidP="003A438A">
      <w:pPr>
        <w:pStyle w:val="FootnoteText"/>
        <w:rPr>
          <w:b w:val="0"/>
          <w:bCs/>
          <w:sz w:val="20"/>
          <w:szCs w:val="20"/>
        </w:rPr>
      </w:pPr>
      <w:r>
        <w:rPr>
          <w:rStyle w:val="FootnoteReference"/>
        </w:rPr>
        <w:footnoteRef/>
      </w:r>
      <w:r>
        <w:t xml:space="preserve"> </w:t>
      </w:r>
      <w:r w:rsidRPr="00002217">
        <w:rPr>
          <w:b w:val="0"/>
          <w:sz w:val="20"/>
          <w:szCs w:val="20"/>
        </w:rPr>
        <w:t>Wray (2011, 60) writes: “Financialization is marked by increased leverage, with debt piled on top of debt, and more and more complex linkages between financial institutions—essentially, an explosion of financial layering in which financial institutions borrow from one another to lend. These linkages create the conditions under which the failure of an institution like Bear Stearns or Lehman Brothers can result in the sort of toppling of dominoes that occurred in the financial sector.”</w:t>
      </w:r>
    </w:p>
    <w:p w:rsidR="003A438A" w:rsidRDefault="003A438A" w:rsidP="003A438A">
      <w:pPr>
        <w:pStyle w:val="FootnoteText"/>
      </w:pPr>
    </w:p>
  </w:footnote>
  <w:footnote w:id="4">
    <w:p w:rsidR="00002217" w:rsidRDefault="00002217">
      <w:pPr>
        <w:pStyle w:val="FootnoteText"/>
      </w:pPr>
      <w:r>
        <w:rPr>
          <w:rStyle w:val="FootnoteReference"/>
        </w:rPr>
        <w:footnoteRef/>
      </w:r>
      <w:r>
        <w:t xml:space="preserve"> </w:t>
      </w:r>
      <w:r w:rsidRPr="006979CF">
        <w:rPr>
          <w:b w:val="0"/>
          <w:bCs/>
          <w:sz w:val="20"/>
          <w:szCs w:val="20"/>
        </w:rPr>
        <w:t>Speculative use of CDSs dwarfs their use as portfolio insurance. For example, the notional value of CDS contracts outstanding in November 2007 was $60 trillion while the insured value of CDO reference assets was $5 trillion. Wray(2009, 822) writes: “Given the size of the CDS universe. . . a default on $1 billion of bonds can cause CDS sellers to default on many billions of dollars in insurance. In this way, leverage works against the bailout—government has to spend many more times on defaults in mortgages to cover losses on bonds, and still more to cover CDS losses.” The European Parliament banned naked CDS use effective in December 2011.</w:t>
      </w:r>
    </w:p>
  </w:footnote>
  <w:footnote w:id="5">
    <w:p w:rsidR="006979CF" w:rsidRDefault="006979CF">
      <w:pPr>
        <w:pStyle w:val="FootnoteText"/>
      </w:pPr>
      <w:r>
        <w:rPr>
          <w:rStyle w:val="FootnoteReference"/>
        </w:rPr>
        <w:footnoteRef/>
      </w:r>
      <w:r>
        <w:t xml:space="preserve"> </w:t>
      </w:r>
      <w:r w:rsidRPr="006979CF">
        <w:rPr>
          <w:b w:val="0"/>
          <w:bCs/>
          <w:sz w:val="20"/>
          <w:szCs w:val="20"/>
        </w:rPr>
        <w:t xml:space="preserve">A secret lien is an undisclosed security interest. Simkovic (2009) explains that the “doctrine of secret liens” is expressed most clearly in Clow </w:t>
      </w:r>
      <w:r w:rsidRPr="006979CF">
        <w:rPr>
          <w:b w:val="0"/>
          <w:bCs/>
          <w:i/>
          <w:iCs/>
          <w:sz w:val="20"/>
          <w:szCs w:val="20"/>
        </w:rPr>
        <w:t>v.</w:t>
      </w:r>
      <w:r w:rsidRPr="006979CF">
        <w:rPr>
          <w:b w:val="0"/>
          <w:bCs/>
          <w:sz w:val="20"/>
          <w:szCs w:val="20"/>
        </w:rPr>
        <w:t xml:space="preserve"> Woods (1819), a case where the Pennsylvania Supreme Court ruled that  undisclosed security interests constitute “fraud per se.” He writes notes that “by overriding privately negotiated payment priorities, the doctrine of secret liens creates incentives for transparency” (Simkovic 2009, 256).</w:t>
      </w:r>
    </w:p>
  </w:footnote>
  <w:footnote w:id="6">
    <w:p w:rsidR="006979CF" w:rsidRPr="006979CF" w:rsidRDefault="006979CF" w:rsidP="006979CF">
      <w:pPr>
        <w:pStyle w:val="FootnoteText"/>
        <w:rPr>
          <w:b w:val="0"/>
          <w:bCs/>
          <w:sz w:val="20"/>
          <w:szCs w:val="20"/>
        </w:rPr>
      </w:pPr>
      <w:r>
        <w:rPr>
          <w:rStyle w:val="FootnoteReference"/>
        </w:rPr>
        <w:footnoteRef/>
      </w:r>
      <w:r>
        <w:t xml:space="preserve"> </w:t>
      </w:r>
      <w:r w:rsidRPr="006979CF">
        <w:rPr>
          <w:b w:val="0"/>
          <w:bCs/>
          <w:sz w:val="20"/>
          <w:szCs w:val="20"/>
        </w:rPr>
        <w:t>Simkovic (2009, 272) writes that “credit default swaps, like other OTC, are an ideal vehicle for secret liens because of their inherent complexity, limited disclosure, and superior treatment in bankruptcy.”</w:t>
      </w:r>
    </w:p>
    <w:p w:rsidR="006979CF" w:rsidRDefault="006979CF" w:rsidP="006979CF">
      <w:pPr>
        <w:pStyle w:val="FootnoteText"/>
      </w:pPr>
    </w:p>
  </w:footnote>
  <w:footnote w:id="7">
    <w:p w:rsidR="006979CF" w:rsidRDefault="006979CF">
      <w:pPr>
        <w:pStyle w:val="FootnoteText"/>
      </w:pPr>
      <w:r>
        <w:rPr>
          <w:rStyle w:val="FootnoteReference"/>
        </w:rPr>
        <w:footnoteRef/>
      </w:r>
      <w:r>
        <w:t xml:space="preserve"> </w:t>
      </w:r>
      <w:r w:rsidRPr="006979CF">
        <w:rPr>
          <w:b w:val="0"/>
          <w:bCs/>
          <w:sz w:val="20"/>
          <w:szCs w:val="20"/>
        </w:rPr>
        <w:t xml:space="preserve">Let </w:t>
      </w:r>
      <w:r w:rsidRPr="006979CF">
        <w:rPr>
          <w:b w:val="0"/>
          <w:bCs/>
          <w:i/>
          <w:iCs/>
          <w:sz w:val="20"/>
          <w:szCs w:val="20"/>
        </w:rPr>
        <w:t>p</w:t>
      </w:r>
      <w:r w:rsidRPr="006979CF">
        <w:rPr>
          <w:b w:val="0"/>
          <w:bCs/>
          <w:sz w:val="20"/>
          <w:szCs w:val="20"/>
        </w:rPr>
        <w:t xml:space="preserve">(X) be the probability of fire at building X and Y is event of fire at building Y. X is correlated with Y if the conditional probability of X </w:t>
      </w:r>
      <w:r w:rsidRPr="006979CF">
        <w:rPr>
          <w:b w:val="0"/>
          <w:bCs/>
          <w:i/>
          <w:iCs/>
          <w:sz w:val="20"/>
          <w:szCs w:val="20"/>
        </w:rPr>
        <w:t>given</w:t>
      </w:r>
      <w:r w:rsidRPr="006979CF">
        <w:rPr>
          <w:b w:val="0"/>
          <w:bCs/>
          <w:sz w:val="20"/>
          <w:szCs w:val="20"/>
        </w:rPr>
        <w:t xml:space="preserve"> Y is not equal to the probability of X—that is </w:t>
      </w:r>
      <w:r w:rsidRPr="006979CF">
        <w:rPr>
          <w:b w:val="0"/>
          <w:bCs/>
          <w:i/>
          <w:iCs/>
          <w:sz w:val="20"/>
          <w:szCs w:val="20"/>
        </w:rPr>
        <w:t>p</w:t>
      </w:r>
      <w:r w:rsidRPr="006979CF">
        <w:rPr>
          <w:b w:val="0"/>
          <w:bCs/>
          <w:sz w:val="20"/>
          <w:szCs w:val="20"/>
        </w:rPr>
        <w:t xml:space="preserve">(X|Y) ≠ </w:t>
      </w:r>
      <w:r w:rsidRPr="006979CF">
        <w:rPr>
          <w:b w:val="0"/>
          <w:bCs/>
          <w:i/>
          <w:iCs/>
          <w:sz w:val="20"/>
          <w:szCs w:val="20"/>
        </w:rPr>
        <w:t>p</w:t>
      </w:r>
      <w:r w:rsidRPr="006979CF">
        <w:rPr>
          <w:b w:val="0"/>
          <w:bCs/>
          <w:sz w:val="20"/>
          <w:szCs w:val="20"/>
        </w:rPr>
        <w:t xml:space="preserve">(X). In reality, the rating agencies did </w:t>
      </w:r>
      <w:r w:rsidRPr="006979CF">
        <w:rPr>
          <w:b w:val="0"/>
          <w:bCs/>
          <w:i/>
          <w:iCs/>
          <w:sz w:val="20"/>
          <w:szCs w:val="20"/>
        </w:rPr>
        <w:t>not</w:t>
      </w:r>
      <w:r w:rsidRPr="006979CF">
        <w:rPr>
          <w:b w:val="0"/>
          <w:bCs/>
          <w:sz w:val="20"/>
          <w:szCs w:val="20"/>
        </w:rPr>
        <w:t xml:space="preserve"> have good information on the quality of loans collateralizing derivative securities, as become clear in a 2008 hearing before the House Committee on Oversight and Government Reform, 110</w:t>
      </w:r>
      <w:r w:rsidRPr="006979CF">
        <w:rPr>
          <w:b w:val="0"/>
          <w:bCs/>
          <w:sz w:val="20"/>
          <w:szCs w:val="20"/>
          <w:vertAlign w:val="superscript"/>
        </w:rPr>
        <w:t>th</w:t>
      </w:r>
      <w:r w:rsidRPr="006979CF">
        <w:rPr>
          <w:b w:val="0"/>
          <w:bCs/>
          <w:sz w:val="20"/>
          <w:szCs w:val="20"/>
        </w:rPr>
        <w:t xml:space="preserve"> Congress (statement of Henry Waxman available at </w:t>
      </w:r>
      <w:r w:rsidRPr="006979CF">
        <w:rPr>
          <w:b w:val="0"/>
          <w:sz w:val="20"/>
          <w:szCs w:val="20"/>
        </w:rPr>
        <w:t>http://oversight.house.gov/story.asp?ID=2255):</w:t>
      </w:r>
      <w:r w:rsidRPr="006979CF">
        <w:rPr>
          <w:b w:val="0"/>
          <w:bCs/>
          <w:sz w:val="20"/>
          <w:szCs w:val="20"/>
        </w:rPr>
        <w:t xml:space="preserve"> “In 2001, [S&amp;P analyst Frank] was asked to rate an early CDO called ‘Pinstripe.’ He asked for ‘collateral tapes’ so that he could assess the creditworthiness of the home loans backing the CDO. This is the response he got from Richard Gugliada, the managing director: ‘Any request for loan level tapes is TOTALLY UNREASONABLE!!!! Most investors don’t have it and can’t provide it. Nevertheless we MUST produce a credit estimate . . . . It is your responsibility to provide those credit estimates and your responsibility to devise some method for doing so.’ [Mr Raitner ] emailed back: ‘This is the most amazing memo I have ever received in my business career’.”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6A0E"/>
    <w:multiLevelType w:val="hybridMultilevel"/>
    <w:tmpl w:val="9B4299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5B73C73"/>
    <w:multiLevelType w:val="hybridMultilevel"/>
    <w:tmpl w:val="9B78C0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E53823"/>
    <w:rsid w:val="00002217"/>
    <w:rsid w:val="00030D71"/>
    <w:rsid w:val="00072B1B"/>
    <w:rsid w:val="00074810"/>
    <w:rsid w:val="000822CF"/>
    <w:rsid w:val="00094227"/>
    <w:rsid w:val="000972D5"/>
    <w:rsid w:val="000D6A6F"/>
    <w:rsid w:val="000F2883"/>
    <w:rsid w:val="000F4D31"/>
    <w:rsid w:val="000F5204"/>
    <w:rsid w:val="0012440C"/>
    <w:rsid w:val="001250DF"/>
    <w:rsid w:val="00155F55"/>
    <w:rsid w:val="001657EA"/>
    <w:rsid w:val="0018040D"/>
    <w:rsid w:val="001B21FD"/>
    <w:rsid w:val="001B2B9C"/>
    <w:rsid w:val="001C16B9"/>
    <w:rsid w:val="001D7F0A"/>
    <w:rsid w:val="001F61EB"/>
    <w:rsid w:val="00203AB8"/>
    <w:rsid w:val="00204210"/>
    <w:rsid w:val="002107E5"/>
    <w:rsid w:val="00243113"/>
    <w:rsid w:val="00251C4C"/>
    <w:rsid w:val="0025383E"/>
    <w:rsid w:val="0027755F"/>
    <w:rsid w:val="00292A8D"/>
    <w:rsid w:val="002A6C93"/>
    <w:rsid w:val="002B4E8F"/>
    <w:rsid w:val="002D1722"/>
    <w:rsid w:val="002E22AA"/>
    <w:rsid w:val="002E5CBA"/>
    <w:rsid w:val="002E66DB"/>
    <w:rsid w:val="00304820"/>
    <w:rsid w:val="00306ADB"/>
    <w:rsid w:val="00307ECD"/>
    <w:rsid w:val="00316C29"/>
    <w:rsid w:val="003272B8"/>
    <w:rsid w:val="00343287"/>
    <w:rsid w:val="00345D9B"/>
    <w:rsid w:val="003703D5"/>
    <w:rsid w:val="003A438A"/>
    <w:rsid w:val="003A5ADC"/>
    <w:rsid w:val="003E3444"/>
    <w:rsid w:val="003E688F"/>
    <w:rsid w:val="003F3229"/>
    <w:rsid w:val="00417273"/>
    <w:rsid w:val="00443412"/>
    <w:rsid w:val="00444C08"/>
    <w:rsid w:val="00451E70"/>
    <w:rsid w:val="00453B3F"/>
    <w:rsid w:val="004541F8"/>
    <w:rsid w:val="00464D6E"/>
    <w:rsid w:val="004653CB"/>
    <w:rsid w:val="00485B9F"/>
    <w:rsid w:val="00495D3C"/>
    <w:rsid w:val="004A75F3"/>
    <w:rsid w:val="004B5C24"/>
    <w:rsid w:val="004C4C67"/>
    <w:rsid w:val="004C54F0"/>
    <w:rsid w:val="004F7698"/>
    <w:rsid w:val="0051550D"/>
    <w:rsid w:val="00527FE1"/>
    <w:rsid w:val="00534B87"/>
    <w:rsid w:val="00537B43"/>
    <w:rsid w:val="00547E4F"/>
    <w:rsid w:val="0055705D"/>
    <w:rsid w:val="0056589F"/>
    <w:rsid w:val="00566756"/>
    <w:rsid w:val="00574652"/>
    <w:rsid w:val="0057733D"/>
    <w:rsid w:val="00595078"/>
    <w:rsid w:val="005A14BE"/>
    <w:rsid w:val="005A160F"/>
    <w:rsid w:val="005A3228"/>
    <w:rsid w:val="005C446E"/>
    <w:rsid w:val="005C57C7"/>
    <w:rsid w:val="005D352C"/>
    <w:rsid w:val="005D779D"/>
    <w:rsid w:val="005E0FE5"/>
    <w:rsid w:val="005E42A5"/>
    <w:rsid w:val="005F37FE"/>
    <w:rsid w:val="00601957"/>
    <w:rsid w:val="00610F58"/>
    <w:rsid w:val="006246FB"/>
    <w:rsid w:val="006266A5"/>
    <w:rsid w:val="00647A0A"/>
    <w:rsid w:val="00653D3A"/>
    <w:rsid w:val="00654330"/>
    <w:rsid w:val="0066532E"/>
    <w:rsid w:val="0068210A"/>
    <w:rsid w:val="006979CF"/>
    <w:rsid w:val="006D365C"/>
    <w:rsid w:val="006D797D"/>
    <w:rsid w:val="006E0371"/>
    <w:rsid w:val="006F358C"/>
    <w:rsid w:val="006F5F2E"/>
    <w:rsid w:val="007064B3"/>
    <w:rsid w:val="00713322"/>
    <w:rsid w:val="0072408B"/>
    <w:rsid w:val="007335A2"/>
    <w:rsid w:val="0074747B"/>
    <w:rsid w:val="00756ADC"/>
    <w:rsid w:val="00757E6C"/>
    <w:rsid w:val="0077516A"/>
    <w:rsid w:val="007978EE"/>
    <w:rsid w:val="00797F30"/>
    <w:rsid w:val="007A1CB9"/>
    <w:rsid w:val="007C02AC"/>
    <w:rsid w:val="007D255F"/>
    <w:rsid w:val="007F5DC9"/>
    <w:rsid w:val="008070D6"/>
    <w:rsid w:val="00813021"/>
    <w:rsid w:val="00836B6D"/>
    <w:rsid w:val="008504D8"/>
    <w:rsid w:val="00850A3A"/>
    <w:rsid w:val="00870BF1"/>
    <w:rsid w:val="0088432A"/>
    <w:rsid w:val="0089109B"/>
    <w:rsid w:val="00893FB9"/>
    <w:rsid w:val="008B374D"/>
    <w:rsid w:val="008C0657"/>
    <w:rsid w:val="008C0F62"/>
    <w:rsid w:val="008C3186"/>
    <w:rsid w:val="008C31DF"/>
    <w:rsid w:val="008E0CAA"/>
    <w:rsid w:val="008F4B5C"/>
    <w:rsid w:val="009006BD"/>
    <w:rsid w:val="009126B4"/>
    <w:rsid w:val="00913749"/>
    <w:rsid w:val="0093247C"/>
    <w:rsid w:val="00934733"/>
    <w:rsid w:val="009463FD"/>
    <w:rsid w:val="00947728"/>
    <w:rsid w:val="00957483"/>
    <w:rsid w:val="00965217"/>
    <w:rsid w:val="009757E0"/>
    <w:rsid w:val="00991AC3"/>
    <w:rsid w:val="00992C52"/>
    <w:rsid w:val="00997C15"/>
    <w:rsid w:val="00997CC1"/>
    <w:rsid w:val="009C6811"/>
    <w:rsid w:val="009E6EA7"/>
    <w:rsid w:val="00A00260"/>
    <w:rsid w:val="00A00D99"/>
    <w:rsid w:val="00A07888"/>
    <w:rsid w:val="00A154CE"/>
    <w:rsid w:val="00A24552"/>
    <w:rsid w:val="00A26DFF"/>
    <w:rsid w:val="00A3542D"/>
    <w:rsid w:val="00A6424A"/>
    <w:rsid w:val="00A701D5"/>
    <w:rsid w:val="00A7125B"/>
    <w:rsid w:val="00A82FA2"/>
    <w:rsid w:val="00AB64A1"/>
    <w:rsid w:val="00AD10FC"/>
    <w:rsid w:val="00AD5F47"/>
    <w:rsid w:val="00B117A9"/>
    <w:rsid w:val="00B125D9"/>
    <w:rsid w:val="00B214E2"/>
    <w:rsid w:val="00B23AFF"/>
    <w:rsid w:val="00B24FF3"/>
    <w:rsid w:val="00B274B2"/>
    <w:rsid w:val="00B33EB0"/>
    <w:rsid w:val="00B40D17"/>
    <w:rsid w:val="00B43957"/>
    <w:rsid w:val="00B62587"/>
    <w:rsid w:val="00B67A82"/>
    <w:rsid w:val="00B74C77"/>
    <w:rsid w:val="00B776D3"/>
    <w:rsid w:val="00BA74CE"/>
    <w:rsid w:val="00BB4CE0"/>
    <w:rsid w:val="00BB5FAE"/>
    <w:rsid w:val="00BC4E13"/>
    <w:rsid w:val="00BD2DF2"/>
    <w:rsid w:val="00BD75AE"/>
    <w:rsid w:val="00BE5395"/>
    <w:rsid w:val="00C113FE"/>
    <w:rsid w:val="00C24F79"/>
    <w:rsid w:val="00C46208"/>
    <w:rsid w:val="00C55E57"/>
    <w:rsid w:val="00C65231"/>
    <w:rsid w:val="00C67359"/>
    <w:rsid w:val="00C8606B"/>
    <w:rsid w:val="00C9413D"/>
    <w:rsid w:val="00C953A5"/>
    <w:rsid w:val="00CA6AA1"/>
    <w:rsid w:val="00CB6EA8"/>
    <w:rsid w:val="00CB72CB"/>
    <w:rsid w:val="00CC544E"/>
    <w:rsid w:val="00CD7262"/>
    <w:rsid w:val="00CD7682"/>
    <w:rsid w:val="00D01DA5"/>
    <w:rsid w:val="00D02602"/>
    <w:rsid w:val="00D0376A"/>
    <w:rsid w:val="00D37878"/>
    <w:rsid w:val="00D57AC3"/>
    <w:rsid w:val="00D653F9"/>
    <w:rsid w:val="00D811DE"/>
    <w:rsid w:val="00D954A9"/>
    <w:rsid w:val="00DB0C99"/>
    <w:rsid w:val="00DB3F23"/>
    <w:rsid w:val="00DD16EC"/>
    <w:rsid w:val="00DE3401"/>
    <w:rsid w:val="00DF3217"/>
    <w:rsid w:val="00E00DB1"/>
    <w:rsid w:val="00E13BEB"/>
    <w:rsid w:val="00E30B82"/>
    <w:rsid w:val="00E3764C"/>
    <w:rsid w:val="00E53823"/>
    <w:rsid w:val="00E543CF"/>
    <w:rsid w:val="00E92CF8"/>
    <w:rsid w:val="00EB4DFC"/>
    <w:rsid w:val="00EB680D"/>
    <w:rsid w:val="00EC58A7"/>
    <w:rsid w:val="00ED652B"/>
    <w:rsid w:val="00F118C8"/>
    <w:rsid w:val="00F209BD"/>
    <w:rsid w:val="00F21464"/>
    <w:rsid w:val="00F21FE4"/>
    <w:rsid w:val="00F67E60"/>
    <w:rsid w:val="00F85E39"/>
    <w:rsid w:val="00FD001A"/>
    <w:rsid w:val="00FD2DCA"/>
    <w:rsid w:val="00FE615A"/>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E8F"/>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2FA2"/>
    <w:pPr>
      <w:autoSpaceDE w:val="0"/>
      <w:autoSpaceDN w:val="0"/>
      <w:adjustRightInd w:val="0"/>
    </w:pPr>
    <w:rPr>
      <w:rFonts w:ascii="Arial" w:eastAsia="Calibri" w:hAnsi="Arial" w:cs="Arial"/>
      <w:color w:val="000000"/>
      <w:sz w:val="24"/>
      <w:szCs w:val="24"/>
    </w:rPr>
  </w:style>
  <w:style w:type="paragraph" w:styleId="FootnoteText">
    <w:name w:val="footnote text"/>
    <w:basedOn w:val="Normal"/>
    <w:link w:val="FootnoteTextChar"/>
    <w:rsid w:val="0088432A"/>
    <w:pPr>
      <w:widowControl w:val="0"/>
      <w:snapToGrid w:val="0"/>
    </w:pPr>
    <w:rPr>
      <w:b/>
      <w:kern w:val="2"/>
      <w:sz w:val="18"/>
      <w:szCs w:val="18"/>
    </w:rPr>
  </w:style>
  <w:style w:type="character" w:customStyle="1" w:styleId="FootnoteTextChar">
    <w:name w:val="Footnote Text Char"/>
    <w:link w:val="FootnoteText"/>
    <w:rsid w:val="0088432A"/>
    <w:rPr>
      <w:rFonts w:eastAsia="SimSun"/>
      <w:b/>
      <w:kern w:val="2"/>
      <w:sz w:val="18"/>
      <w:szCs w:val="18"/>
      <w:lang w:val="en-US" w:eastAsia="zh-CN" w:bidi="ar-SA"/>
    </w:rPr>
  </w:style>
  <w:style w:type="character" w:styleId="Hyperlink">
    <w:name w:val="Hyperlink"/>
    <w:rsid w:val="00BA74CE"/>
    <w:rPr>
      <w:color w:val="0000FF"/>
      <w:u w:val="single"/>
    </w:rPr>
  </w:style>
  <w:style w:type="paragraph" w:styleId="BalloonText">
    <w:name w:val="Balloon Text"/>
    <w:basedOn w:val="Normal"/>
    <w:link w:val="BalloonTextChar"/>
    <w:uiPriority w:val="99"/>
    <w:semiHidden/>
    <w:unhideWhenUsed/>
    <w:rsid w:val="00574652"/>
    <w:rPr>
      <w:rFonts w:ascii="Tahoma" w:hAnsi="Tahoma"/>
      <w:sz w:val="16"/>
      <w:szCs w:val="16"/>
    </w:rPr>
  </w:style>
  <w:style w:type="character" w:customStyle="1" w:styleId="BalloonTextChar">
    <w:name w:val="Balloon Text Char"/>
    <w:link w:val="BalloonText"/>
    <w:uiPriority w:val="99"/>
    <w:semiHidden/>
    <w:rsid w:val="00574652"/>
    <w:rPr>
      <w:rFonts w:ascii="Tahoma" w:hAnsi="Tahoma" w:cs="Tahoma"/>
      <w:sz w:val="16"/>
      <w:szCs w:val="16"/>
      <w:lang w:eastAsia="zh-CN"/>
    </w:rPr>
  </w:style>
  <w:style w:type="paragraph" w:styleId="Footer">
    <w:name w:val="footer"/>
    <w:basedOn w:val="Normal"/>
    <w:rsid w:val="00813021"/>
    <w:pPr>
      <w:tabs>
        <w:tab w:val="center" w:pos="4320"/>
        <w:tab w:val="right" w:pos="8640"/>
      </w:tabs>
    </w:pPr>
  </w:style>
  <w:style w:type="character" w:styleId="PageNumber">
    <w:name w:val="page number"/>
    <w:basedOn w:val="DefaultParagraphFont"/>
    <w:rsid w:val="00813021"/>
  </w:style>
  <w:style w:type="paragraph" w:customStyle="1" w:styleId="Textbody">
    <w:name w:val="Text body"/>
    <w:basedOn w:val="Normal"/>
    <w:rsid w:val="00870BF1"/>
    <w:pPr>
      <w:suppressAutoHyphens/>
      <w:autoSpaceDN w:val="0"/>
      <w:spacing w:after="120"/>
      <w:textAlignment w:val="baseline"/>
    </w:pPr>
    <w:rPr>
      <w:rFonts w:eastAsia="Times New Roman"/>
      <w:kern w:val="3"/>
      <w:lang w:eastAsia="en-US"/>
    </w:rPr>
  </w:style>
  <w:style w:type="table" w:styleId="TableGrid">
    <w:name w:val="Table Grid"/>
    <w:basedOn w:val="TableNormal"/>
    <w:uiPriority w:val="59"/>
    <w:rsid w:val="00870BF1"/>
    <w:rPr>
      <w:rFonts w:ascii="Calibri" w:hAnsi="Calibr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0022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2FA2"/>
    <w:pPr>
      <w:autoSpaceDE w:val="0"/>
      <w:autoSpaceDN w:val="0"/>
      <w:adjustRightInd w:val="0"/>
    </w:pPr>
    <w:rPr>
      <w:rFonts w:ascii="Arial" w:eastAsia="Calibri" w:hAnsi="Arial" w:cs="Arial"/>
      <w:color w:val="000000"/>
      <w:sz w:val="24"/>
      <w:szCs w:val="24"/>
    </w:rPr>
  </w:style>
  <w:style w:type="paragraph" w:styleId="FootnoteText">
    <w:name w:val="footnote text"/>
    <w:basedOn w:val="Normal"/>
    <w:link w:val="FootnoteTextChar"/>
    <w:rsid w:val="0088432A"/>
    <w:pPr>
      <w:widowControl w:val="0"/>
      <w:snapToGrid w:val="0"/>
    </w:pPr>
    <w:rPr>
      <w:b/>
      <w:kern w:val="2"/>
      <w:sz w:val="18"/>
      <w:szCs w:val="18"/>
    </w:rPr>
  </w:style>
  <w:style w:type="character" w:customStyle="1" w:styleId="FootnoteTextChar">
    <w:name w:val="Footnote Text Char"/>
    <w:link w:val="FootnoteText"/>
    <w:rsid w:val="0088432A"/>
    <w:rPr>
      <w:rFonts w:eastAsia="SimSun"/>
      <w:b/>
      <w:kern w:val="2"/>
      <w:sz w:val="18"/>
      <w:szCs w:val="18"/>
      <w:lang w:val="en-US" w:eastAsia="zh-CN" w:bidi="ar-SA"/>
    </w:rPr>
  </w:style>
  <w:style w:type="character" w:styleId="Hyperlink">
    <w:name w:val="Hyperlink"/>
    <w:rsid w:val="00BA74CE"/>
    <w:rPr>
      <w:color w:val="0000FF"/>
      <w:u w:val="single"/>
    </w:rPr>
  </w:style>
  <w:style w:type="paragraph" w:styleId="BalloonText">
    <w:name w:val="Balloon Text"/>
    <w:basedOn w:val="Normal"/>
    <w:link w:val="BalloonTextChar"/>
    <w:uiPriority w:val="99"/>
    <w:semiHidden/>
    <w:unhideWhenUsed/>
    <w:rsid w:val="00574652"/>
    <w:rPr>
      <w:rFonts w:ascii="Tahoma" w:hAnsi="Tahoma"/>
      <w:sz w:val="16"/>
      <w:szCs w:val="16"/>
      <w:lang w:val="x-none"/>
    </w:rPr>
  </w:style>
  <w:style w:type="character" w:customStyle="1" w:styleId="BalloonTextChar">
    <w:name w:val="Balloon Text Char"/>
    <w:link w:val="BalloonText"/>
    <w:uiPriority w:val="99"/>
    <w:semiHidden/>
    <w:rsid w:val="00574652"/>
    <w:rPr>
      <w:rFonts w:ascii="Tahoma" w:hAnsi="Tahoma" w:cs="Tahoma"/>
      <w:sz w:val="16"/>
      <w:szCs w:val="16"/>
      <w:lang w:eastAsia="zh-CN"/>
    </w:rPr>
  </w:style>
  <w:style w:type="paragraph" w:styleId="Footer">
    <w:name w:val="footer"/>
    <w:basedOn w:val="Normal"/>
    <w:rsid w:val="00813021"/>
    <w:pPr>
      <w:tabs>
        <w:tab w:val="center" w:pos="4320"/>
        <w:tab w:val="right" w:pos="8640"/>
      </w:tabs>
    </w:pPr>
  </w:style>
  <w:style w:type="character" w:styleId="PageNumber">
    <w:name w:val="page number"/>
    <w:basedOn w:val="DefaultParagraphFont"/>
    <w:rsid w:val="00813021"/>
  </w:style>
  <w:style w:type="paragraph" w:customStyle="1" w:styleId="Textbody">
    <w:name w:val="Text body"/>
    <w:basedOn w:val="Normal"/>
    <w:rsid w:val="00870BF1"/>
    <w:pPr>
      <w:suppressAutoHyphens/>
      <w:autoSpaceDN w:val="0"/>
      <w:spacing w:after="120"/>
      <w:textAlignment w:val="baseline"/>
    </w:pPr>
    <w:rPr>
      <w:rFonts w:eastAsia="Times New Roman"/>
      <w:kern w:val="3"/>
      <w:lang w:eastAsia="en-US"/>
    </w:rPr>
  </w:style>
  <w:style w:type="table" w:styleId="TableGrid">
    <w:name w:val="Table Grid"/>
    <w:basedOn w:val="TableNormal"/>
    <w:uiPriority w:val="59"/>
    <w:rsid w:val="00870BF1"/>
    <w:rPr>
      <w:rFonts w:ascii="Calibri" w:hAnsi="Calibr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71E79-9B2F-43FD-B8A8-4CD92377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3325</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The credit default swap (CDS), a device that permits money managers to hedge against default risk on collateralized debt</vt:lpstr>
    </vt:vector>
  </TitlesOfParts>
  <Company>ASU</Company>
  <LinksUpToDate>false</LinksUpToDate>
  <CharactersWithSpaces>22234</CharactersWithSpaces>
  <SharedDoc>false</SharedDoc>
  <HLinks>
    <vt:vector size="6" baseType="variant">
      <vt:variant>
        <vt:i4>4784239</vt:i4>
      </vt:variant>
      <vt:variant>
        <vt:i4>0</vt:i4>
      </vt:variant>
      <vt:variant>
        <vt:i4>0</vt:i4>
      </vt:variant>
      <vt:variant>
        <vt:i4>5</vt:i4>
      </vt:variant>
      <vt:variant>
        <vt:lpwstr>mailto:crbrown@astate.edu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credit default swap (CDS), a device that permits money managers to hedge against default risk on collateralized debt</dc:title>
  <dc:creator>Chris</dc:creator>
  <cp:lastModifiedBy>Christopher Brown</cp:lastModifiedBy>
  <cp:revision>5</cp:revision>
  <cp:lastPrinted>2012-01-03T15:35:00Z</cp:lastPrinted>
  <dcterms:created xsi:type="dcterms:W3CDTF">2011-12-21T04:49:00Z</dcterms:created>
  <dcterms:modified xsi:type="dcterms:W3CDTF">2012-01-03T15:46:00Z</dcterms:modified>
</cp:coreProperties>
</file>